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F20B3" w14:textId="7EB850C6" w:rsidR="00CC3847" w:rsidRDefault="00CC3847" w:rsidP="005B2EBD">
      <w:pPr>
        <w:pStyle w:val="Normal1"/>
        <w:contextualSpacing w:val="0"/>
        <w:jc w:val="center"/>
        <w:rPr>
          <w:b/>
          <w:sz w:val="24"/>
          <w:szCs w:val="24"/>
        </w:rPr>
      </w:pPr>
    </w:p>
    <w:p w14:paraId="7FFFA8CC" w14:textId="3C9083CB" w:rsidR="00072E60" w:rsidRPr="00072E60" w:rsidRDefault="00072E60" w:rsidP="005B2EBD">
      <w:pPr>
        <w:pStyle w:val="Normal1"/>
        <w:contextualSpacing w:val="0"/>
        <w:jc w:val="center"/>
        <w:rPr>
          <w:b/>
          <w:sz w:val="28"/>
          <w:szCs w:val="28"/>
        </w:rPr>
      </w:pPr>
      <w:r>
        <w:rPr>
          <w:b/>
          <w:sz w:val="28"/>
          <w:szCs w:val="28"/>
        </w:rPr>
        <w:t>FICHE TECHNIQUE</w:t>
      </w:r>
    </w:p>
    <w:p w14:paraId="07EE85BA" w14:textId="77777777" w:rsidR="00072E60" w:rsidRPr="00551D3C" w:rsidRDefault="00072E60" w:rsidP="005B2EBD">
      <w:pPr>
        <w:pStyle w:val="Normal1"/>
        <w:contextualSpacing w:val="0"/>
        <w:jc w:val="center"/>
        <w:rPr>
          <w:b/>
          <w:sz w:val="24"/>
          <w:szCs w:val="24"/>
        </w:rPr>
      </w:pPr>
    </w:p>
    <w:p w14:paraId="6D3CB8D4" w14:textId="4D8B9F8A" w:rsidR="00CC3847" w:rsidRPr="00551D3C" w:rsidRDefault="00CC3847" w:rsidP="005B2EBD">
      <w:pPr>
        <w:pStyle w:val="Normal1"/>
        <w:contextualSpacing w:val="0"/>
        <w:jc w:val="center"/>
        <w:rPr>
          <w:b/>
          <w:sz w:val="24"/>
          <w:szCs w:val="24"/>
        </w:rPr>
      </w:pPr>
    </w:p>
    <w:p w14:paraId="00745B29" w14:textId="0603C92F" w:rsidR="00CC3847" w:rsidRPr="00551D3C" w:rsidRDefault="00CC3847" w:rsidP="005B2EBD">
      <w:pPr>
        <w:pStyle w:val="Normal1"/>
        <w:contextualSpacing w:val="0"/>
        <w:jc w:val="center"/>
        <w:rPr>
          <w:b/>
          <w:sz w:val="24"/>
          <w:szCs w:val="24"/>
        </w:rPr>
      </w:pPr>
      <w:r w:rsidRPr="00551D3C">
        <w:rPr>
          <w:b/>
          <w:sz w:val="24"/>
          <w:szCs w:val="24"/>
        </w:rPr>
        <w:t xml:space="preserve">Chronologie du </w:t>
      </w:r>
      <w:r w:rsidR="00072E60">
        <w:rPr>
          <w:b/>
          <w:sz w:val="24"/>
          <w:szCs w:val="24"/>
        </w:rPr>
        <w:t>recours d’ENvironnement JEUnesse</w:t>
      </w:r>
    </w:p>
    <w:p w14:paraId="05B2D647" w14:textId="38D31844" w:rsidR="00CC3847" w:rsidRPr="00551D3C" w:rsidRDefault="00CC3847" w:rsidP="005B2EBD">
      <w:pPr>
        <w:pStyle w:val="Normal1"/>
        <w:contextualSpacing w:val="0"/>
        <w:jc w:val="center"/>
        <w:rPr>
          <w:b/>
          <w:sz w:val="24"/>
          <w:szCs w:val="24"/>
        </w:rPr>
      </w:pPr>
    </w:p>
    <w:p w14:paraId="77AAAB27" w14:textId="36C25A05" w:rsidR="00CC3847" w:rsidRPr="00CC3847" w:rsidRDefault="00CC3847" w:rsidP="005B2EBD">
      <w:pPr>
        <w:pStyle w:val="Normal1"/>
        <w:spacing w:before="120" w:after="120"/>
        <w:contextualSpacing w:val="0"/>
        <w:jc w:val="both"/>
        <w:rPr>
          <w:rFonts w:eastAsia="Times New Roman"/>
          <w:sz w:val="20"/>
          <w:szCs w:val="20"/>
          <w:lang w:val="fr-CA"/>
        </w:rPr>
      </w:pPr>
      <w:r w:rsidRPr="00CC3847">
        <w:rPr>
          <w:rFonts w:eastAsia="Times New Roman"/>
          <w:b/>
          <w:bCs/>
          <w:sz w:val="20"/>
          <w:szCs w:val="20"/>
          <w:lang w:val="fr-CA"/>
        </w:rPr>
        <w:t>26 novembre 2018</w:t>
      </w:r>
      <w:r w:rsidR="00563328">
        <w:rPr>
          <w:rFonts w:eastAsia="Times New Roman"/>
          <w:b/>
          <w:bCs/>
          <w:sz w:val="20"/>
          <w:szCs w:val="20"/>
          <w:lang w:val="fr-CA"/>
        </w:rPr>
        <w:t> </w:t>
      </w:r>
      <w:r w:rsidRPr="00CC3847">
        <w:rPr>
          <w:rFonts w:eastAsia="Times New Roman"/>
          <w:sz w:val="20"/>
          <w:szCs w:val="20"/>
          <w:lang w:val="fr-CA"/>
        </w:rPr>
        <w:t>: Dépôt de la demande d’autorisation pour exercer une action collective</w:t>
      </w:r>
    </w:p>
    <w:p w14:paraId="6974E097" w14:textId="5904407D" w:rsidR="00CC3847" w:rsidRPr="00CC3847" w:rsidRDefault="00CC3847" w:rsidP="005B2EBD">
      <w:pPr>
        <w:pStyle w:val="Normal1"/>
        <w:spacing w:before="120" w:after="120"/>
        <w:contextualSpacing w:val="0"/>
        <w:jc w:val="both"/>
        <w:rPr>
          <w:rFonts w:eastAsia="Times New Roman"/>
          <w:sz w:val="20"/>
          <w:szCs w:val="20"/>
          <w:lang w:val="fr-CA"/>
        </w:rPr>
      </w:pPr>
      <w:r w:rsidRPr="00CC3847">
        <w:rPr>
          <w:rFonts w:eastAsia="Times New Roman"/>
          <w:b/>
          <w:bCs/>
          <w:sz w:val="20"/>
          <w:szCs w:val="20"/>
          <w:lang w:val="fr-CA"/>
        </w:rPr>
        <w:t>6 juin 2019</w:t>
      </w:r>
      <w:r w:rsidR="00563328">
        <w:rPr>
          <w:rFonts w:eastAsia="Times New Roman"/>
          <w:b/>
          <w:bCs/>
          <w:sz w:val="20"/>
          <w:szCs w:val="20"/>
          <w:lang w:val="fr-CA"/>
        </w:rPr>
        <w:t> </w:t>
      </w:r>
      <w:r w:rsidRPr="00CC3847">
        <w:rPr>
          <w:rFonts w:eastAsia="Times New Roman"/>
          <w:sz w:val="20"/>
          <w:szCs w:val="20"/>
          <w:lang w:val="fr-CA"/>
        </w:rPr>
        <w:t>: Audience à la Cour supérieure du Québec pour présenter la demande d’autorisation d’ENvironnement JEUnesse</w:t>
      </w:r>
    </w:p>
    <w:p w14:paraId="43D8F093" w14:textId="483BBCAF" w:rsidR="00CC3847" w:rsidRPr="00CC3847" w:rsidRDefault="00CC3847" w:rsidP="005B2EBD">
      <w:pPr>
        <w:pStyle w:val="Normal1"/>
        <w:spacing w:before="120" w:after="120"/>
        <w:contextualSpacing w:val="0"/>
        <w:jc w:val="both"/>
        <w:rPr>
          <w:rFonts w:eastAsia="Times New Roman"/>
          <w:sz w:val="20"/>
          <w:szCs w:val="20"/>
          <w:lang w:val="fr-CA"/>
        </w:rPr>
      </w:pPr>
      <w:r w:rsidRPr="00CC3847">
        <w:rPr>
          <w:rFonts w:eastAsia="Times New Roman"/>
          <w:b/>
          <w:bCs/>
          <w:sz w:val="20"/>
          <w:szCs w:val="20"/>
          <w:lang w:val="fr-CA"/>
        </w:rPr>
        <w:t>11 juillet 2019</w:t>
      </w:r>
      <w:r w:rsidR="00563328">
        <w:rPr>
          <w:rFonts w:eastAsia="Times New Roman"/>
          <w:b/>
          <w:bCs/>
          <w:sz w:val="20"/>
          <w:szCs w:val="20"/>
          <w:lang w:val="fr-CA"/>
        </w:rPr>
        <w:t> </w:t>
      </w:r>
      <w:r w:rsidRPr="00CC3847">
        <w:rPr>
          <w:rFonts w:eastAsia="Times New Roman"/>
          <w:sz w:val="20"/>
          <w:szCs w:val="20"/>
          <w:lang w:val="fr-CA"/>
        </w:rPr>
        <w:t>: Jugement rendu par le juge Gary D.D. Morrison de la Cour supérieure du Québec</w:t>
      </w:r>
    </w:p>
    <w:p w14:paraId="74920A92" w14:textId="6E478164" w:rsidR="00CC3847" w:rsidRPr="00CC3847" w:rsidRDefault="00CC3847" w:rsidP="005B2EBD">
      <w:pPr>
        <w:pStyle w:val="Normal1"/>
        <w:spacing w:before="120" w:after="120"/>
        <w:contextualSpacing w:val="0"/>
        <w:jc w:val="both"/>
        <w:rPr>
          <w:rFonts w:eastAsia="Times New Roman"/>
          <w:sz w:val="20"/>
          <w:szCs w:val="20"/>
          <w:lang w:val="fr-CA"/>
        </w:rPr>
      </w:pPr>
      <w:r w:rsidRPr="00CC3847">
        <w:rPr>
          <w:rFonts w:eastAsia="Times New Roman"/>
          <w:b/>
          <w:bCs/>
          <w:sz w:val="20"/>
          <w:szCs w:val="20"/>
          <w:lang w:val="fr-CA"/>
        </w:rPr>
        <w:t>16 août 2019</w:t>
      </w:r>
      <w:r w:rsidR="00563328">
        <w:rPr>
          <w:rFonts w:eastAsia="Times New Roman"/>
          <w:b/>
          <w:bCs/>
          <w:sz w:val="20"/>
          <w:szCs w:val="20"/>
          <w:lang w:val="fr-CA"/>
        </w:rPr>
        <w:t> </w:t>
      </w:r>
      <w:r w:rsidRPr="00CC3847">
        <w:rPr>
          <w:rFonts w:eastAsia="Times New Roman"/>
          <w:sz w:val="20"/>
          <w:szCs w:val="20"/>
          <w:lang w:val="fr-CA"/>
        </w:rPr>
        <w:t>: Dépôt de la déclaration d'appel par ENvironnement JEUnesse</w:t>
      </w:r>
    </w:p>
    <w:p w14:paraId="44AA2D2E" w14:textId="27B19030" w:rsidR="00CC3847" w:rsidRPr="00CC3847" w:rsidRDefault="00CC3847" w:rsidP="005B2EBD">
      <w:pPr>
        <w:pStyle w:val="Normal1"/>
        <w:spacing w:before="120" w:after="120"/>
        <w:contextualSpacing w:val="0"/>
        <w:jc w:val="both"/>
        <w:rPr>
          <w:rFonts w:eastAsia="Times New Roman"/>
          <w:sz w:val="20"/>
          <w:szCs w:val="20"/>
          <w:lang w:val="fr-CA"/>
        </w:rPr>
      </w:pPr>
      <w:r>
        <w:rPr>
          <w:rFonts w:eastAsia="Times New Roman"/>
          <w:b/>
          <w:bCs/>
          <w:sz w:val="20"/>
          <w:szCs w:val="20"/>
          <w:lang w:val="fr-CA"/>
        </w:rPr>
        <w:t>12 février 2020 </w:t>
      </w:r>
      <w:r>
        <w:rPr>
          <w:rFonts w:eastAsia="Times New Roman"/>
          <w:sz w:val="20"/>
          <w:szCs w:val="20"/>
          <w:lang w:val="fr-CA"/>
        </w:rPr>
        <w:t>: Décision de la Cour d’appel du Québec autorisant Amnistie Internationale à intervenir</w:t>
      </w:r>
    </w:p>
    <w:p w14:paraId="21AC74B5" w14:textId="2E8CE55A" w:rsidR="00CC3847" w:rsidRPr="00CC3847" w:rsidRDefault="00CC3847" w:rsidP="005B2EBD">
      <w:pPr>
        <w:pStyle w:val="Normal1"/>
        <w:spacing w:before="120" w:after="120"/>
        <w:contextualSpacing w:val="0"/>
        <w:jc w:val="both"/>
        <w:rPr>
          <w:rFonts w:eastAsia="Times New Roman"/>
          <w:sz w:val="20"/>
          <w:szCs w:val="20"/>
          <w:lang w:val="fr-CA"/>
        </w:rPr>
      </w:pPr>
      <w:r w:rsidRPr="00CC3847">
        <w:rPr>
          <w:rFonts w:eastAsia="Times New Roman"/>
          <w:b/>
          <w:bCs/>
          <w:sz w:val="20"/>
          <w:szCs w:val="20"/>
          <w:lang w:val="fr-CA"/>
        </w:rPr>
        <w:t>23 février 2021</w:t>
      </w:r>
      <w:r w:rsidR="00563328">
        <w:rPr>
          <w:rFonts w:eastAsia="Times New Roman"/>
          <w:b/>
          <w:bCs/>
          <w:sz w:val="20"/>
          <w:szCs w:val="20"/>
          <w:lang w:val="fr-CA"/>
        </w:rPr>
        <w:t> </w:t>
      </w:r>
      <w:r w:rsidRPr="00CC3847">
        <w:rPr>
          <w:rFonts w:eastAsia="Times New Roman"/>
          <w:sz w:val="20"/>
          <w:szCs w:val="20"/>
          <w:lang w:val="fr-CA"/>
        </w:rPr>
        <w:t>: Audience à la Cour d’appel du Québec</w:t>
      </w:r>
    </w:p>
    <w:p w14:paraId="1556C491" w14:textId="000A8495" w:rsidR="00CC3847" w:rsidRDefault="00CC3847" w:rsidP="005B2EBD">
      <w:pPr>
        <w:pStyle w:val="Normal1"/>
        <w:spacing w:before="120" w:after="120"/>
        <w:contextualSpacing w:val="0"/>
        <w:jc w:val="both"/>
        <w:rPr>
          <w:rFonts w:eastAsia="Times New Roman"/>
          <w:sz w:val="20"/>
          <w:szCs w:val="20"/>
          <w:lang w:val="fr-CA"/>
        </w:rPr>
      </w:pPr>
      <w:r w:rsidRPr="00CC3847">
        <w:rPr>
          <w:rFonts w:eastAsia="Times New Roman"/>
          <w:b/>
          <w:bCs/>
          <w:sz w:val="20"/>
          <w:szCs w:val="20"/>
          <w:lang w:val="fr-CA"/>
        </w:rPr>
        <w:t>13 décembre 2021</w:t>
      </w:r>
      <w:r w:rsidR="00563328">
        <w:rPr>
          <w:rFonts w:eastAsia="Times New Roman"/>
          <w:b/>
          <w:bCs/>
          <w:sz w:val="20"/>
          <w:szCs w:val="20"/>
          <w:lang w:val="fr-CA"/>
        </w:rPr>
        <w:t> </w:t>
      </w:r>
      <w:r w:rsidRPr="00CC3847">
        <w:rPr>
          <w:rFonts w:eastAsia="Times New Roman"/>
          <w:sz w:val="20"/>
          <w:szCs w:val="20"/>
          <w:lang w:val="fr-CA"/>
        </w:rPr>
        <w:t>: Arrêt rendu par la Cour d'appel du Québec</w:t>
      </w:r>
    </w:p>
    <w:p w14:paraId="29670EB9" w14:textId="6024CE06" w:rsidR="00CC3847" w:rsidRPr="00CC3847" w:rsidRDefault="00CC3847" w:rsidP="005B2EBD">
      <w:pPr>
        <w:pStyle w:val="Normal1"/>
        <w:spacing w:before="120" w:after="120"/>
        <w:contextualSpacing w:val="0"/>
        <w:jc w:val="both"/>
        <w:rPr>
          <w:rFonts w:eastAsia="Times New Roman"/>
          <w:sz w:val="20"/>
          <w:szCs w:val="20"/>
          <w:lang w:val="fr-CA"/>
        </w:rPr>
      </w:pPr>
      <w:r w:rsidRPr="00CC3847">
        <w:rPr>
          <w:rFonts w:eastAsia="Times New Roman"/>
          <w:b/>
          <w:bCs/>
          <w:sz w:val="20"/>
          <w:szCs w:val="20"/>
          <w:lang w:val="fr-CA"/>
        </w:rPr>
        <w:t>11 février 2022</w:t>
      </w:r>
      <w:r>
        <w:rPr>
          <w:rFonts w:eastAsia="Times New Roman"/>
          <w:sz w:val="20"/>
          <w:szCs w:val="20"/>
          <w:lang w:val="fr-CA"/>
        </w:rPr>
        <w:t> : Dépôt de la demande d’autorisation d’appeler à la Cour suprême du Canada</w:t>
      </w:r>
    </w:p>
    <w:p w14:paraId="167EA6CD" w14:textId="7DD14CF2" w:rsidR="00CC3847" w:rsidRPr="00551D3C" w:rsidRDefault="00CC3847" w:rsidP="005B2EBD">
      <w:pPr>
        <w:pStyle w:val="Normal1"/>
        <w:contextualSpacing w:val="0"/>
        <w:jc w:val="both"/>
        <w:rPr>
          <w:rFonts w:eastAsia="Times New Roman"/>
          <w:sz w:val="18"/>
          <w:szCs w:val="18"/>
          <w:lang w:val="fr-CA"/>
        </w:rPr>
      </w:pPr>
    </w:p>
    <w:p w14:paraId="6181E91B" w14:textId="1A9DBF1E" w:rsidR="00CC3847" w:rsidRPr="00551D3C" w:rsidRDefault="00CC3847" w:rsidP="005B2EBD">
      <w:pPr>
        <w:pStyle w:val="Normal1"/>
        <w:contextualSpacing w:val="0"/>
        <w:jc w:val="center"/>
        <w:rPr>
          <w:b/>
          <w:sz w:val="24"/>
          <w:szCs w:val="24"/>
        </w:rPr>
      </w:pPr>
      <w:r w:rsidRPr="00551D3C">
        <w:rPr>
          <w:b/>
          <w:sz w:val="24"/>
          <w:szCs w:val="24"/>
        </w:rPr>
        <w:t>Autres recours climatiques en cours au Canada</w:t>
      </w:r>
    </w:p>
    <w:p w14:paraId="18BF1261" w14:textId="7530CB6E" w:rsidR="00CC3847" w:rsidRPr="00551D3C" w:rsidRDefault="00CC3847" w:rsidP="005B2EBD">
      <w:pPr>
        <w:pStyle w:val="Normal1"/>
        <w:contextualSpacing w:val="0"/>
        <w:jc w:val="center"/>
        <w:rPr>
          <w:b/>
          <w:sz w:val="24"/>
          <w:szCs w:val="24"/>
        </w:rPr>
      </w:pPr>
    </w:p>
    <w:p w14:paraId="6DDD866F" w14:textId="04AC8135" w:rsidR="00B30AA3" w:rsidRPr="00B30AA3" w:rsidRDefault="00B30AA3" w:rsidP="005B2EBD">
      <w:pPr>
        <w:pStyle w:val="Normal1"/>
        <w:jc w:val="both"/>
        <w:rPr>
          <w:rFonts w:eastAsia="Times New Roman"/>
          <w:b/>
          <w:bCs/>
          <w:sz w:val="20"/>
          <w:szCs w:val="20"/>
          <w:lang w:val="fr-CA"/>
        </w:rPr>
      </w:pPr>
      <w:r w:rsidRPr="00B30AA3">
        <w:rPr>
          <w:rFonts w:eastAsia="Times New Roman"/>
          <w:b/>
          <w:bCs/>
          <w:sz w:val="20"/>
          <w:szCs w:val="20"/>
          <w:lang w:val="fr-CA"/>
        </w:rPr>
        <w:t>La Rose c. Canada</w:t>
      </w:r>
    </w:p>
    <w:p w14:paraId="10828920" w14:textId="7C6A544F" w:rsidR="00B30AA3" w:rsidRPr="00260F70" w:rsidRDefault="00B30AA3" w:rsidP="005B2EBD">
      <w:pPr>
        <w:pStyle w:val="Normal1"/>
        <w:jc w:val="both"/>
        <w:rPr>
          <w:rFonts w:eastAsia="Times New Roman"/>
          <w:sz w:val="20"/>
          <w:szCs w:val="20"/>
          <w:lang w:val="fr-CA"/>
        </w:rPr>
      </w:pPr>
      <w:r>
        <w:rPr>
          <w:rFonts w:eastAsia="Times New Roman"/>
          <w:sz w:val="20"/>
          <w:szCs w:val="20"/>
          <w:lang w:val="fr-CA"/>
        </w:rPr>
        <w:t>Q</w:t>
      </w:r>
      <w:r w:rsidRPr="00B30AA3">
        <w:rPr>
          <w:rFonts w:eastAsia="Times New Roman"/>
          <w:sz w:val="20"/>
          <w:szCs w:val="20"/>
          <w:lang w:val="fr-CA"/>
        </w:rPr>
        <w:t xml:space="preserve">uinze enfants et jeunes de partout au Canada </w:t>
      </w:r>
      <w:r>
        <w:rPr>
          <w:rFonts w:eastAsia="Times New Roman"/>
          <w:sz w:val="20"/>
          <w:szCs w:val="20"/>
          <w:lang w:val="fr-CA"/>
        </w:rPr>
        <w:t xml:space="preserve">ont déposé un recours </w:t>
      </w:r>
      <w:r w:rsidR="00072E60">
        <w:rPr>
          <w:rFonts w:eastAsia="Times New Roman"/>
          <w:sz w:val="20"/>
          <w:szCs w:val="20"/>
          <w:lang w:val="fr-CA"/>
        </w:rPr>
        <w:t>devant</w:t>
      </w:r>
      <w:r>
        <w:rPr>
          <w:rFonts w:eastAsia="Times New Roman"/>
          <w:sz w:val="20"/>
          <w:szCs w:val="20"/>
          <w:lang w:val="fr-CA"/>
        </w:rPr>
        <w:t xml:space="preserve"> la Cour fédérale, </w:t>
      </w:r>
      <w:r w:rsidRPr="00B30AA3">
        <w:rPr>
          <w:rFonts w:eastAsia="Times New Roman"/>
          <w:sz w:val="20"/>
          <w:szCs w:val="20"/>
          <w:lang w:val="fr-CA"/>
        </w:rPr>
        <w:t xml:space="preserve">alléguant que la conduite du gouvernement fédéral en matière de changements climatiques viole leurs droits en vertu des articles 7 et 15 de la </w:t>
      </w:r>
      <w:r w:rsidRPr="00072E60">
        <w:rPr>
          <w:rFonts w:eastAsia="Times New Roman"/>
          <w:i/>
          <w:iCs/>
          <w:sz w:val="20"/>
          <w:szCs w:val="20"/>
          <w:lang w:val="fr-CA"/>
        </w:rPr>
        <w:t>Charte canadienne des droits et libertés</w:t>
      </w:r>
      <w:r w:rsidRPr="00B30AA3">
        <w:rPr>
          <w:rFonts w:eastAsia="Times New Roman"/>
          <w:sz w:val="20"/>
          <w:szCs w:val="20"/>
          <w:lang w:val="fr-CA"/>
        </w:rPr>
        <w:t xml:space="preserve">. Le juge Manson a </w:t>
      </w:r>
      <w:r>
        <w:rPr>
          <w:rFonts w:eastAsia="Times New Roman"/>
          <w:sz w:val="20"/>
          <w:szCs w:val="20"/>
          <w:lang w:val="fr-CA"/>
        </w:rPr>
        <w:t>accueilli une demande de radiation du Procureur général du Canada à un stade préliminaire du dossier. Il</w:t>
      </w:r>
      <w:r w:rsidRPr="00B30AA3">
        <w:rPr>
          <w:rFonts w:eastAsia="Times New Roman"/>
          <w:sz w:val="20"/>
          <w:szCs w:val="20"/>
          <w:lang w:val="fr-CA"/>
        </w:rPr>
        <w:t xml:space="preserve"> a conclu que la réclamation des demandeurs n'</w:t>
      </w:r>
      <w:r>
        <w:rPr>
          <w:rFonts w:eastAsia="Times New Roman"/>
          <w:sz w:val="20"/>
          <w:szCs w:val="20"/>
          <w:lang w:val="fr-CA"/>
        </w:rPr>
        <w:t>était</w:t>
      </w:r>
      <w:r w:rsidRPr="00B30AA3">
        <w:rPr>
          <w:rFonts w:eastAsia="Times New Roman"/>
          <w:sz w:val="20"/>
          <w:szCs w:val="20"/>
          <w:lang w:val="fr-CA"/>
        </w:rPr>
        <w:t xml:space="preserve"> pas justiciable et qu'elle ne rév</w:t>
      </w:r>
      <w:r>
        <w:rPr>
          <w:rFonts w:eastAsia="Times New Roman"/>
          <w:sz w:val="20"/>
          <w:szCs w:val="20"/>
          <w:lang w:val="fr-CA"/>
        </w:rPr>
        <w:t>élait</w:t>
      </w:r>
      <w:r w:rsidRPr="00B30AA3">
        <w:rPr>
          <w:rFonts w:eastAsia="Times New Roman"/>
          <w:sz w:val="20"/>
          <w:szCs w:val="20"/>
          <w:lang w:val="fr-CA"/>
        </w:rPr>
        <w:t xml:space="preserve"> aucune cause d'action raisonnable en raison de ce qu'il consi</w:t>
      </w:r>
      <w:r>
        <w:rPr>
          <w:rFonts w:eastAsia="Times New Roman"/>
          <w:sz w:val="20"/>
          <w:szCs w:val="20"/>
          <w:lang w:val="fr-CA"/>
        </w:rPr>
        <w:t>dérait</w:t>
      </w:r>
      <w:r w:rsidRPr="00B30AA3">
        <w:rPr>
          <w:rFonts w:eastAsia="Times New Roman"/>
          <w:sz w:val="20"/>
          <w:szCs w:val="20"/>
          <w:lang w:val="fr-CA"/>
        </w:rPr>
        <w:t xml:space="preserve"> comme l'ampleur excessive et la nature diffuse de la conduite contestée.</w:t>
      </w:r>
      <w:r>
        <w:rPr>
          <w:rStyle w:val="Appelnotedebasdep"/>
          <w:rFonts w:eastAsia="Times New Roman"/>
          <w:sz w:val="20"/>
          <w:szCs w:val="20"/>
          <w:lang w:val="fr-CA"/>
        </w:rPr>
        <w:footnoteReference w:id="1"/>
      </w:r>
      <w:r w:rsidRPr="00B30AA3">
        <w:rPr>
          <w:rFonts w:eastAsia="Times New Roman"/>
          <w:sz w:val="20"/>
          <w:szCs w:val="20"/>
          <w:lang w:val="fr-CA"/>
        </w:rPr>
        <w:t xml:space="preserve"> </w:t>
      </w:r>
      <w:r w:rsidR="00260F70">
        <w:rPr>
          <w:rFonts w:eastAsia="Times New Roman"/>
          <w:sz w:val="20"/>
          <w:szCs w:val="20"/>
          <w:lang w:val="fr-CA"/>
        </w:rPr>
        <w:t xml:space="preserve">La décision a été portée en appel et sera entendue par la Cour d’appel fédérale, conjointement avec l’appel dans </w:t>
      </w:r>
      <w:proofErr w:type="spellStart"/>
      <w:r w:rsidR="00260F70">
        <w:rPr>
          <w:rFonts w:eastAsia="Times New Roman"/>
          <w:i/>
          <w:iCs/>
          <w:sz w:val="20"/>
          <w:szCs w:val="20"/>
          <w:lang w:val="fr-CA"/>
        </w:rPr>
        <w:t>Misdzi</w:t>
      </w:r>
      <w:proofErr w:type="spellEnd"/>
      <w:r w:rsidR="00260F70">
        <w:rPr>
          <w:rFonts w:eastAsia="Times New Roman"/>
          <w:i/>
          <w:iCs/>
          <w:sz w:val="20"/>
          <w:szCs w:val="20"/>
          <w:lang w:val="fr-CA"/>
        </w:rPr>
        <w:t xml:space="preserve"> </w:t>
      </w:r>
      <w:proofErr w:type="spellStart"/>
      <w:r w:rsidR="00260F70">
        <w:rPr>
          <w:rFonts w:eastAsia="Times New Roman"/>
          <w:i/>
          <w:iCs/>
          <w:sz w:val="20"/>
          <w:szCs w:val="20"/>
          <w:lang w:val="fr-CA"/>
        </w:rPr>
        <w:t>Yikh</w:t>
      </w:r>
      <w:proofErr w:type="spellEnd"/>
      <w:r w:rsidR="00260F70">
        <w:rPr>
          <w:rFonts w:eastAsia="Times New Roman"/>
          <w:sz w:val="20"/>
          <w:szCs w:val="20"/>
          <w:lang w:val="fr-CA"/>
        </w:rPr>
        <w:t>.</w:t>
      </w:r>
    </w:p>
    <w:p w14:paraId="2054E4D4" w14:textId="77777777" w:rsidR="00B30AA3" w:rsidRPr="00B30AA3" w:rsidRDefault="00B30AA3" w:rsidP="005B2EBD">
      <w:pPr>
        <w:pStyle w:val="Normal1"/>
        <w:jc w:val="both"/>
        <w:rPr>
          <w:rFonts w:eastAsia="Times New Roman"/>
          <w:sz w:val="20"/>
          <w:szCs w:val="20"/>
          <w:lang w:val="fr-CA"/>
        </w:rPr>
      </w:pPr>
    </w:p>
    <w:p w14:paraId="0223EE8C" w14:textId="5C7B3FE6" w:rsidR="00B30AA3" w:rsidRPr="00B30AA3" w:rsidRDefault="00B30AA3" w:rsidP="005B2EBD">
      <w:pPr>
        <w:pStyle w:val="Normal1"/>
        <w:jc w:val="both"/>
        <w:rPr>
          <w:rFonts w:eastAsia="Times New Roman"/>
          <w:b/>
          <w:bCs/>
          <w:sz w:val="20"/>
          <w:szCs w:val="20"/>
          <w:lang w:val="fr-CA"/>
        </w:rPr>
      </w:pPr>
      <w:r w:rsidRPr="00B30AA3">
        <w:rPr>
          <w:rFonts w:eastAsia="Times New Roman"/>
          <w:b/>
          <w:bCs/>
          <w:sz w:val="20"/>
          <w:szCs w:val="20"/>
          <w:lang w:val="fr-CA"/>
        </w:rPr>
        <w:t>Mathur c. Ontario</w:t>
      </w:r>
    </w:p>
    <w:p w14:paraId="7AD353C2" w14:textId="2373A809" w:rsidR="00B30AA3" w:rsidRDefault="00B30AA3" w:rsidP="005B2EBD">
      <w:pPr>
        <w:pStyle w:val="Normal1"/>
        <w:jc w:val="both"/>
        <w:rPr>
          <w:rFonts w:eastAsia="Times New Roman"/>
          <w:sz w:val="20"/>
          <w:szCs w:val="20"/>
          <w:lang w:val="fr-CA"/>
        </w:rPr>
      </w:pPr>
      <w:r>
        <w:rPr>
          <w:rFonts w:eastAsia="Times New Roman"/>
          <w:sz w:val="20"/>
          <w:szCs w:val="20"/>
          <w:lang w:val="fr-CA"/>
        </w:rPr>
        <w:t>S</w:t>
      </w:r>
      <w:r w:rsidRPr="00B30AA3">
        <w:rPr>
          <w:rFonts w:eastAsia="Times New Roman"/>
          <w:sz w:val="20"/>
          <w:szCs w:val="20"/>
          <w:lang w:val="fr-CA"/>
        </w:rPr>
        <w:t xml:space="preserve">ept jeunes </w:t>
      </w:r>
      <w:r w:rsidR="00563328">
        <w:rPr>
          <w:rFonts w:eastAsia="Times New Roman"/>
          <w:sz w:val="20"/>
          <w:szCs w:val="20"/>
          <w:lang w:val="fr-CA"/>
        </w:rPr>
        <w:t>O</w:t>
      </w:r>
      <w:r w:rsidRPr="00B30AA3">
        <w:rPr>
          <w:rFonts w:eastAsia="Times New Roman"/>
          <w:sz w:val="20"/>
          <w:szCs w:val="20"/>
          <w:lang w:val="fr-CA"/>
        </w:rPr>
        <w:t xml:space="preserve">ntariens </w:t>
      </w:r>
      <w:r>
        <w:rPr>
          <w:rFonts w:eastAsia="Times New Roman"/>
          <w:sz w:val="20"/>
          <w:szCs w:val="20"/>
          <w:lang w:val="fr-CA"/>
        </w:rPr>
        <w:t xml:space="preserve">ont intenté un recours devant la Cour supérieure de l’Ontario, </w:t>
      </w:r>
      <w:r w:rsidRPr="00B30AA3">
        <w:rPr>
          <w:rFonts w:eastAsia="Times New Roman"/>
          <w:sz w:val="20"/>
          <w:szCs w:val="20"/>
          <w:lang w:val="fr-CA"/>
        </w:rPr>
        <w:t xml:space="preserve">contestant les décisions du gouvernement de l'Ontario de révoquer le système de plafonnement et d'échange </w:t>
      </w:r>
      <w:r w:rsidR="00260F70">
        <w:rPr>
          <w:rFonts w:eastAsia="Times New Roman"/>
          <w:sz w:val="20"/>
          <w:szCs w:val="20"/>
          <w:lang w:val="fr-CA"/>
        </w:rPr>
        <w:t xml:space="preserve">de droits d’émission de </w:t>
      </w:r>
      <w:r w:rsidR="00563328">
        <w:rPr>
          <w:rFonts w:eastAsia="Times New Roman"/>
          <w:sz w:val="20"/>
          <w:szCs w:val="20"/>
          <w:lang w:val="fr-CA"/>
        </w:rPr>
        <w:t>gaz à effet de serre (</w:t>
      </w:r>
      <w:r w:rsidR="00260F70">
        <w:rPr>
          <w:rFonts w:eastAsia="Times New Roman"/>
          <w:sz w:val="20"/>
          <w:szCs w:val="20"/>
          <w:lang w:val="fr-CA"/>
        </w:rPr>
        <w:t>GES</w:t>
      </w:r>
      <w:r w:rsidR="00563328">
        <w:rPr>
          <w:rFonts w:eastAsia="Times New Roman"/>
          <w:sz w:val="20"/>
          <w:szCs w:val="20"/>
          <w:lang w:val="fr-CA"/>
        </w:rPr>
        <w:t>)</w:t>
      </w:r>
      <w:r w:rsidR="00260F70">
        <w:rPr>
          <w:rFonts w:eastAsia="Times New Roman"/>
          <w:sz w:val="20"/>
          <w:szCs w:val="20"/>
          <w:lang w:val="fr-CA"/>
        </w:rPr>
        <w:t xml:space="preserve"> </w:t>
      </w:r>
      <w:r w:rsidRPr="00B30AA3">
        <w:rPr>
          <w:rFonts w:eastAsia="Times New Roman"/>
          <w:sz w:val="20"/>
          <w:szCs w:val="20"/>
          <w:lang w:val="fr-CA"/>
        </w:rPr>
        <w:t xml:space="preserve">et </w:t>
      </w:r>
      <w:r w:rsidR="00260F70">
        <w:rPr>
          <w:rFonts w:eastAsia="Times New Roman"/>
          <w:sz w:val="20"/>
          <w:szCs w:val="20"/>
          <w:lang w:val="fr-CA"/>
        </w:rPr>
        <w:t>de réduire la cible d</w:t>
      </w:r>
      <w:r w:rsidRPr="00B30AA3">
        <w:rPr>
          <w:rFonts w:eastAsia="Times New Roman"/>
          <w:sz w:val="20"/>
          <w:szCs w:val="20"/>
          <w:lang w:val="fr-CA"/>
        </w:rPr>
        <w:t>e réduction des GES</w:t>
      </w:r>
      <w:r w:rsidR="00260F70">
        <w:rPr>
          <w:rFonts w:eastAsia="Times New Roman"/>
          <w:sz w:val="20"/>
          <w:szCs w:val="20"/>
          <w:lang w:val="fr-CA"/>
        </w:rPr>
        <w:t>. Ils allèguent que la province viole de ce fait</w:t>
      </w:r>
      <w:r w:rsidRPr="00B30AA3">
        <w:rPr>
          <w:rFonts w:eastAsia="Times New Roman"/>
          <w:sz w:val="20"/>
          <w:szCs w:val="20"/>
          <w:lang w:val="fr-CA"/>
        </w:rPr>
        <w:t xml:space="preserve"> leurs droits</w:t>
      </w:r>
      <w:bookmarkStart w:id="0" w:name="_GoBack"/>
      <w:bookmarkEnd w:id="0"/>
      <w:r w:rsidRPr="00B30AA3">
        <w:rPr>
          <w:rFonts w:eastAsia="Times New Roman"/>
          <w:sz w:val="20"/>
          <w:szCs w:val="20"/>
          <w:lang w:val="fr-CA"/>
        </w:rPr>
        <w:t xml:space="preserve"> en vertu des articles 7 et 15</w:t>
      </w:r>
      <w:r w:rsidR="00260F70">
        <w:rPr>
          <w:rFonts w:eastAsia="Times New Roman"/>
          <w:sz w:val="20"/>
          <w:szCs w:val="20"/>
          <w:lang w:val="fr-CA"/>
        </w:rPr>
        <w:t xml:space="preserve"> de la </w:t>
      </w:r>
      <w:r w:rsidR="00260F70">
        <w:rPr>
          <w:rFonts w:eastAsia="Times New Roman"/>
          <w:i/>
          <w:iCs/>
          <w:sz w:val="20"/>
          <w:szCs w:val="20"/>
          <w:lang w:val="fr-CA"/>
        </w:rPr>
        <w:t>Charte canadienne des droits et libertés</w:t>
      </w:r>
      <w:r w:rsidR="00260F70">
        <w:rPr>
          <w:rFonts w:eastAsia="Times New Roman"/>
          <w:sz w:val="20"/>
          <w:szCs w:val="20"/>
          <w:lang w:val="fr-CA"/>
        </w:rPr>
        <w:t>. La juge Brown a rejeté une requête préliminaire de la province visant à faire rejeter le recours</w:t>
      </w:r>
      <w:r w:rsidRPr="00B30AA3">
        <w:rPr>
          <w:rFonts w:eastAsia="Times New Roman"/>
          <w:sz w:val="20"/>
          <w:szCs w:val="20"/>
          <w:lang w:val="fr-CA"/>
        </w:rPr>
        <w:t>,</w:t>
      </w:r>
      <w:r w:rsidR="00260F70">
        <w:rPr>
          <w:rFonts w:eastAsia="Times New Roman"/>
          <w:sz w:val="20"/>
          <w:szCs w:val="20"/>
          <w:lang w:val="fr-CA"/>
        </w:rPr>
        <w:t xml:space="preserve"> concluant que les questions soumises étaient</w:t>
      </w:r>
      <w:r w:rsidRPr="00B30AA3">
        <w:rPr>
          <w:rFonts w:eastAsia="Times New Roman"/>
          <w:sz w:val="20"/>
          <w:szCs w:val="20"/>
          <w:lang w:val="fr-CA"/>
        </w:rPr>
        <w:t xml:space="preserve"> à première vue justiciable.</w:t>
      </w:r>
      <w:r>
        <w:rPr>
          <w:rStyle w:val="Appelnotedebasdep"/>
          <w:rFonts w:eastAsia="Times New Roman"/>
          <w:sz w:val="20"/>
          <w:szCs w:val="20"/>
          <w:lang w:val="fr-CA"/>
        </w:rPr>
        <w:footnoteReference w:id="2"/>
      </w:r>
      <w:r w:rsidRPr="00B30AA3">
        <w:rPr>
          <w:rFonts w:eastAsia="Times New Roman"/>
          <w:sz w:val="20"/>
          <w:szCs w:val="20"/>
          <w:lang w:val="fr-CA"/>
        </w:rPr>
        <w:t xml:space="preserve"> La Cour divisionnaire a rejeté </w:t>
      </w:r>
      <w:r w:rsidR="00260F70">
        <w:rPr>
          <w:rFonts w:eastAsia="Times New Roman"/>
          <w:sz w:val="20"/>
          <w:szCs w:val="20"/>
          <w:lang w:val="fr-CA"/>
        </w:rPr>
        <w:t>la</w:t>
      </w:r>
      <w:r w:rsidRPr="00B30AA3">
        <w:rPr>
          <w:rFonts w:eastAsia="Times New Roman"/>
          <w:sz w:val="20"/>
          <w:szCs w:val="20"/>
          <w:lang w:val="fr-CA"/>
        </w:rPr>
        <w:t xml:space="preserve"> requête en autorisation d'appel</w:t>
      </w:r>
      <w:r w:rsidR="00260F70">
        <w:rPr>
          <w:rFonts w:eastAsia="Times New Roman"/>
          <w:sz w:val="20"/>
          <w:szCs w:val="20"/>
          <w:lang w:val="fr-CA"/>
        </w:rPr>
        <w:t xml:space="preserve"> de l’Ontario</w:t>
      </w:r>
      <w:r w:rsidR="00072E60">
        <w:rPr>
          <w:rFonts w:eastAsia="Times New Roman"/>
          <w:sz w:val="20"/>
          <w:szCs w:val="20"/>
          <w:lang w:val="fr-CA"/>
        </w:rPr>
        <w:t xml:space="preserve">. Le procès </w:t>
      </w:r>
      <w:r w:rsidR="005B2EBD">
        <w:rPr>
          <w:rFonts w:eastAsia="Times New Roman"/>
          <w:sz w:val="20"/>
          <w:szCs w:val="20"/>
          <w:lang w:val="fr-CA"/>
        </w:rPr>
        <w:t>débutera en septembre 2022.</w:t>
      </w:r>
    </w:p>
    <w:p w14:paraId="1C659162" w14:textId="16A38866" w:rsidR="00260F70" w:rsidRPr="00260F70" w:rsidRDefault="00260F70" w:rsidP="005B2EBD">
      <w:pPr>
        <w:pStyle w:val="Normal1"/>
        <w:jc w:val="both"/>
        <w:rPr>
          <w:rFonts w:eastAsia="Times New Roman"/>
          <w:b/>
          <w:bCs/>
          <w:sz w:val="20"/>
          <w:szCs w:val="20"/>
          <w:lang w:val="fr-CA"/>
        </w:rPr>
      </w:pPr>
      <w:proofErr w:type="spellStart"/>
      <w:r w:rsidRPr="00260F70">
        <w:rPr>
          <w:rFonts w:eastAsia="Times New Roman"/>
          <w:b/>
          <w:bCs/>
          <w:sz w:val="20"/>
          <w:szCs w:val="20"/>
          <w:lang w:val="fr-CA"/>
        </w:rPr>
        <w:lastRenderedPageBreak/>
        <w:t>Misdzi</w:t>
      </w:r>
      <w:proofErr w:type="spellEnd"/>
      <w:r w:rsidRPr="00260F70">
        <w:rPr>
          <w:rFonts w:eastAsia="Times New Roman"/>
          <w:b/>
          <w:bCs/>
          <w:sz w:val="20"/>
          <w:szCs w:val="20"/>
          <w:lang w:val="fr-CA"/>
        </w:rPr>
        <w:t xml:space="preserve"> </w:t>
      </w:r>
      <w:proofErr w:type="spellStart"/>
      <w:r w:rsidRPr="00260F70">
        <w:rPr>
          <w:rFonts w:eastAsia="Times New Roman"/>
          <w:b/>
          <w:bCs/>
          <w:sz w:val="20"/>
          <w:szCs w:val="20"/>
          <w:lang w:val="fr-CA"/>
        </w:rPr>
        <w:t>Yikh</w:t>
      </w:r>
      <w:proofErr w:type="spellEnd"/>
      <w:r w:rsidRPr="00260F70">
        <w:rPr>
          <w:rFonts w:eastAsia="Times New Roman"/>
          <w:b/>
          <w:bCs/>
          <w:sz w:val="20"/>
          <w:szCs w:val="20"/>
          <w:lang w:val="fr-CA"/>
        </w:rPr>
        <w:t xml:space="preserve"> v. Canada</w:t>
      </w:r>
    </w:p>
    <w:p w14:paraId="18413017" w14:textId="6FA31EC2" w:rsidR="00B30AA3" w:rsidRPr="00B30AA3" w:rsidRDefault="00551D3C" w:rsidP="005B2EBD">
      <w:pPr>
        <w:pStyle w:val="Normal1"/>
        <w:jc w:val="both"/>
        <w:rPr>
          <w:rFonts w:eastAsia="Times New Roman"/>
          <w:sz w:val="20"/>
          <w:szCs w:val="20"/>
          <w:lang w:val="fr-CA"/>
        </w:rPr>
      </w:pPr>
      <w:r>
        <w:rPr>
          <w:rFonts w:eastAsia="Times New Roman"/>
          <w:sz w:val="20"/>
          <w:szCs w:val="20"/>
          <w:lang w:val="fr-CA"/>
        </w:rPr>
        <w:t>L</w:t>
      </w:r>
      <w:r w:rsidR="00B30AA3" w:rsidRPr="00B30AA3">
        <w:rPr>
          <w:rFonts w:eastAsia="Times New Roman"/>
          <w:sz w:val="20"/>
          <w:szCs w:val="20"/>
          <w:lang w:val="fr-CA"/>
        </w:rPr>
        <w:t xml:space="preserve">a Cour fédérale a rejeté comme non justiciable et sans cause d'action raisonnable une demande présentée par deux chefs héréditaires </w:t>
      </w:r>
      <w:proofErr w:type="spellStart"/>
      <w:r w:rsidR="00B30AA3" w:rsidRPr="00B30AA3">
        <w:rPr>
          <w:rFonts w:eastAsia="Times New Roman"/>
          <w:sz w:val="20"/>
          <w:szCs w:val="20"/>
          <w:lang w:val="fr-CA"/>
        </w:rPr>
        <w:t>Wet'suwet'en</w:t>
      </w:r>
      <w:proofErr w:type="spellEnd"/>
      <w:r w:rsidR="00B30AA3" w:rsidRPr="00B30AA3">
        <w:rPr>
          <w:rFonts w:eastAsia="Times New Roman"/>
          <w:sz w:val="20"/>
          <w:szCs w:val="20"/>
          <w:lang w:val="fr-CA"/>
        </w:rPr>
        <w:t xml:space="preserve"> au nom de leurs maisons respectives, </w:t>
      </w:r>
      <w:r>
        <w:rPr>
          <w:rFonts w:eastAsia="Times New Roman"/>
          <w:sz w:val="20"/>
          <w:szCs w:val="20"/>
          <w:lang w:val="fr-CA"/>
        </w:rPr>
        <w:t>qui alléguaient</w:t>
      </w:r>
      <w:r w:rsidR="00B30AA3" w:rsidRPr="00B30AA3">
        <w:rPr>
          <w:rFonts w:eastAsia="Times New Roman"/>
          <w:sz w:val="20"/>
          <w:szCs w:val="20"/>
          <w:lang w:val="fr-CA"/>
        </w:rPr>
        <w:t xml:space="preserve"> que l'omission du gouvernement fédéral d'agir pour contrôler les émissions de GES viol</w:t>
      </w:r>
      <w:r>
        <w:rPr>
          <w:rFonts w:eastAsia="Times New Roman"/>
          <w:sz w:val="20"/>
          <w:szCs w:val="20"/>
          <w:lang w:val="fr-CA"/>
        </w:rPr>
        <w:t>ait</w:t>
      </w:r>
      <w:r w:rsidR="00B30AA3" w:rsidRPr="00B30AA3">
        <w:rPr>
          <w:rFonts w:eastAsia="Times New Roman"/>
          <w:sz w:val="20"/>
          <w:szCs w:val="20"/>
          <w:lang w:val="fr-CA"/>
        </w:rPr>
        <w:t xml:space="preserve"> leurs droits en vertu des articles 7 et 15 de la </w:t>
      </w:r>
      <w:r w:rsidR="00B30AA3" w:rsidRPr="00551D3C">
        <w:rPr>
          <w:rFonts w:eastAsia="Times New Roman"/>
          <w:i/>
          <w:iCs/>
          <w:sz w:val="20"/>
          <w:szCs w:val="20"/>
          <w:lang w:val="fr-CA"/>
        </w:rPr>
        <w:t>Charte</w:t>
      </w:r>
      <w:r w:rsidRPr="00551D3C">
        <w:rPr>
          <w:rFonts w:eastAsia="Times New Roman"/>
          <w:i/>
          <w:iCs/>
          <w:sz w:val="20"/>
          <w:szCs w:val="20"/>
          <w:lang w:val="fr-CA"/>
        </w:rPr>
        <w:t xml:space="preserve"> canadienne des droits et libertés</w:t>
      </w:r>
      <w:r w:rsidR="00B30AA3" w:rsidRPr="00B30AA3">
        <w:rPr>
          <w:rFonts w:eastAsia="Times New Roman"/>
          <w:sz w:val="20"/>
          <w:szCs w:val="20"/>
          <w:lang w:val="fr-CA"/>
        </w:rPr>
        <w:t xml:space="preserve">. Les demandeurs </w:t>
      </w:r>
      <w:r w:rsidR="005B2EBD">
        <w:rPr>
          <w:rFonts w:eastAsia="Times New Roman"/>
          <w:sz w:val="20"/>
          <w:szCs w:val="20"/>
          <w:lang w:val="fr-CA"/>
        </w:rPr>
        <w:t>cherchent</w:t>
      </w:r>
      <w:r w:rsidR="00B30AA3" w:rsidRPr="00B30AA3">
        <w:rPr>
          <w:rFonts w:eastAsia="Times New Roman"/>
          <w:sz w:val="20"/>
          <w:szCs w:val="20"/>
          <w:lang w:val="fr-CA"/>
        </w:rPr>
        <w:t xml:space="preserve">, entre autres, à obtenir une déclaration selon laquelle le gouvernement du Canada a l'obligation constitutionnelle de maintenir </w:t>
      </w:r>
      <w:r w:rsidR="005B2EBD">
        <w:rPr>
          <w:rFonts w:eastAsia="Times New Roman"/>
          <w:sz w:val="20"/>
          <w:szCs w:val="20"/>
          <w:lang w:val="fr-CA"/>
        </w:rPr>
        <w:t>la paix, l’ordre</w:t>
      </w:r>
      <w:r w:rsidR="00B30AA3" w:rsidRPr="00B30AA3">
        <w:rPr>
          <w:rFonts w:eastAsia="Times New Roman"/>
          <w:sz w:val="20"/>
          <w:szCs w:val="20"/>
          <w:lang w:val="fr-CA"/>
        </w:rPr>
        <w:t xml:space="preserve"> et le bon gouvernement en agissant pour maintenir les GES à des niveaux suffisamment bas pour éviter des changements climatiques dangereux.</w:t>
      </w:r>
      <w:r w:rsidR="00260F70">
        <w:rPr>
          <w:rStyle w:val="Appelnotedebasdep"/>
          <w:rFonts w:eastAsia="Times New Roman"/>
          <w:sz w:val="20"/>
          <w:szCs w:val="20"/>
          <w:lang w:val="fr-CA"/>
        </w:rPr>
        <w:footnoteReference w:id="3"/>
      </w:r>
      <w:r>
        <w:rPr>
          <w:rFonts w:eastAsia="Times New Roman"/>
          <w:sz w:val="20"/>
          <w:szCs w:val="20"/>
          <w:lang w:val="fr-CA"/>
        </w:rPr>
        <w:t xml:space="preserve"> La décision a été portée en appel et sera entendue conjointement avec l’affaire </w:t>
      </w:r>
      <w:r w:rsidRPr="005B2EBD">
        <w:rPr>
          <w:rFonts w:eastAsia="Times New Roman"/>
          <w:i/>
          <w:iCs/>
          <w:sz w:val="20"/>
          <w:szCs w:val="20"/>
          <w:lang w:val="fr-CA"/>
        </w:rPr>
        <w:t>La Rose</w:t>
      </w:r>
      <w:r>
        <w:rPr>
          <w:rFonts w:eastAsia="Times New Roman"/>
          <w:sz w:val="20"/>
          <w:szCs w:val="20"/>
          <w:lang w:val="fr-CA"/>
        </w:rPr>
        <w:t>.</w:t>
      </w:r>
    </w:p>
    <w:p w14:paraId="17DEAA84" w14:textId="77777777" w:rsidR="00B30AA3" w:rsidRPr="00B30AA3" w:rsidRDefault="00B30AA3" w:rsidP="005B2EBD">
      <w:pPr>
        <w:pStyle w:val="Normal1"/>
        <w:jc w:val="both"/>
        <w:rPr>
          <w:rFonts w:eastAsia="Times New Roman"/>
          <w:sz w:val="20"/>
          <w:szCs w:val="20"/>
          <w:lang w:val="fr-CA"/>
        </w:rPr>
      </w:pPr>
    </w:p>
    <w:p w14:paraId="60EB46D5" w14:textId="0D7F71C8" w:rsidR="00A151A9" w:rsidRPr="00551D3C" w:rsidRDefault="00860731" w:rsidP="005B2EBD">
      <w:pPr>
        <w:pStyle w:val="Normal1"/>
        <w:contextualSpacing w:val="0"/>
        <w:jc w:val="center"/>
        <w:rPr>
          <w:sz w:val="24"/>
          <w:szCs w:val="24"/>
        </w:rPr>
      </w:pPr>
      <w:r w:rsidRPr="00551D3C">
        <w:rPr>
          <w:b/>
          <w:sz w:val="24"/>
          <w:szCs w:val="24"/>
        </w:rPr>
        <w:t>Victoires à travers le monde</w:t>
      </w:r>
    </w:p>
    <w:p w14:paraId="3D094042" w14:textId="77777777" w:rsidR="00A151A9" w:rsidRPr="00551D3C" w:rsidRDefault="00A151A9" w:rsidP="005B2EBD">
      <w:pPr>
        <w:pStyle w:val="Titre1"/>
        <w:spacing w:line="276" w:lineRule="auto"/>
        <w:jc w:val="both"/>
        <w:rPr>
          <w:rFonts w:ascii="Arial" w:eastAsia="Arial" w:hAnsi="Arial" w:cs="Arial"/>
          <w:color w:val="000000"/>
          <w:sz w:val="18"/>
          <w:szCs w:val="18"/>
        </w:rPr>
      </w:pPr>
      <w:bookmarkStart w:id="1" w:name="_9vl4c3i95ic5" w:colFirst="0" w:colLast="0"/>
      <w:bookmarkEnd w:id="1"/>
    </w:p>
    <w:p w14:paraId="14834EDC" w14:textId="24548572" w:rsidR="001052B0" w:rsidRPr="0027561D" w:rsidRDefault="001052B0" w:rsidP="005B2EBD">
      <w:pPr>
        <w:pStyle w:val="Titre1"/>
        <w:spacing w:line="276" w:lineRule="auto"/>
        <w:jc w:val="both"/>
        <w:rPr>
          <w:rFonts w:ascii="Arial" w:eastAsia="Arial" w:hAnsi="Arial" w:cs="Arial"/>
          <w:b/>
          <w:color w:val="000000"/>
          <w:sz w:val="20"/>
          <w:szCs w:val="20"/>
          <w:lang w:val="fr-CA"/>
        </w:rPr>
      </w:pPr>
      <w:bookmarkStart w:id="2" w:name="_g558ugixcxbi" w:colFirst="0" w:colLast="0"/>
      <w:bookmarkStart w:id="3" w:name="_e9byte3c4h79" w:colFirst="0" w:colLast="0"/>
      <w:bookmarkStart w:id="4" w:name="_n7k65eliy573" w:colFirst="0" w:colLast="0"/>
      <w:bookmarkEnd w:id="2"/>
      <w:bookmarkEnd w:id="3"/>
      <w:bookmarkEnd w:id="4"/>
      <w:proofErr w:type="spellStart"/>
      <w:r w:rsidRPr="0027561D">
        <w:rPr>
          <w:rFonts w:ascii="Arial" w:eastAsia="Arial" w:hAnsi="Arial" w:cs="Arial"/>
          <w:b/>
          <w:color w:val="000000"/>
          <w:sz w:val="20"/>
          <w:szCs w:val="20"/>
          <w:lang w:val="fr-CA"/>
        </w:rPr>
        <w:t>Urgenda</w:t>
      </w:r>
      <w:proofErr w:type="spellEnd"/>
      <w:r w:rsidRPr="0027561D">
        <w:rPr>
          <w:rFonts w:ascii="Arial" w:eastAsia="Arial" w:hAnsi="Arial" w:cs="Arial"/>
          <w:b/>
          <w:color w:val="000000"/>
          <w:sz w:val="20"/>
          <w:szCs w:val="20"/>
          <w:lang w:val="fr-CA"/>
        </w:rPr>
        <w:t xml:space="preserve"> </w:t>
      </w:r>
      <w:proofErr w:type="spellStart"/>
      <w:r w:rsidRPr="0027561D">
        <w:rPr>
          <w:rFonts w:ascii="Arial" w:eastAsia="Arial" w:hAnsi="Arial" w:cs="Arial"/>
          <w:b/>
          <w:color w:val="000000"/>
          <w:sz w:val="20"/>
          <w:szCs w:val="20"/>
          <w:lang w:val="fr-CA"/>
        </w:rPr>
        <w:t>Foundation</w:t>
      </w:r>
      <w:proofErr w:type="spellEnd"/>
      <w:r w:rsidRPr="0027561D">
        <w:rPr>
          <w:rFonts w:ascii="Arial" w:eastAsia="Arial" w:hAnsi="Arial" w:cs="Arial"/>
          <w:b/>
          <w:color w:val="000000"/>
          <w:sz w:val="20"/>
          <w:szCs w:val="20"/>
          <w:lang w:val="fr-CA"/>
        </w:rPr>
        <w:t xml:space="preserve"> </w:t>
      </w:r>
      <w:r w:rsidR="0027561D" w:rsidRPr="0027561D">
        <w:rPr>
          <w:rFonts w:ascii="Arial" w:eastAsia="Arial" w:hAnsi="Arial" w:cs="Arial"/>
          <w:b/>
          <w:color w:val="000000"/>
          <w:sz w:val="20"/>
          <w:szCs w:val="20"/>
          <w:lang w:val="fr-CA"/>
        </w:rPr>
        <w:t>c</w:t>
      </w:r>
      <w:r w:rsidRPr="0027561D">
        <w:rPr>
          <w:rFonts w:ascii="Arial" w:eastAsia="Arial" w:hAnsi="Arial" w:cs="Arial"/>
          <w:b/>
          <w:color w:val="000000"/>
          <w:sz w:val="20"/>
          <w:szCs w:val="20"/>
          <w:lang w:val="fr-CA"/>
        </w:rPr>
        <w:t xml:space="preserve">. </w:t>
      </w:r>
      <w:r w:rsidR="0027561D" w:rsidRPr="0027561D">
        <w:rPr>
          <w:rFonts w:ascii="Arial" w:eastAsia="Arial" w:hAnsi="Arial" w:cs="Arial"/>
          <w:b/>
          <w:color w:val="000000"/>
          <w:sz w:val="20"/>
          <w:szCs w:val="20"/>
          <w:lang w:val="fr-CA"/>
        </w:rPr>
        <w:t>Royaume des Pays-Bas</w:t>
      </w:r>
      <w:r w:rsidRPr="0027561D">
        <w:rPr>
          <w:rFonts w:ascii="Arial" w:eastAsia="Arial" w:hAnsi="Arial" w:cs="Arial"/>
          <w:b/>
          <w:color w:val="000000"/>
          <w:sz w:val="20"/>
          <w:szCs w:val="20"/>
          <w:lang w:val="fr-CA"/>
        </w:rPr>
        <w:t xml:space="preserve"> </w:t>
      </w:r>
    </w:p>
    <w:p w14:paraId="563EB099" w14:textId="014C63CA" w:rsidR="0027561D" w:rsidRPr="0027561D" w:rsidRDefault="00C65B56" w:rsidP="005B2EBD">
      <w:pPr>
        <w:spacing w:line="276" w:lineRule="auto"/>
        <w:jc w:val="both"/>
        <w:rPr>
          <w:rFonts w:ascii="Arial" w:hAnsi="Arial" w:cs="Arial"/>
          <w:sz w:val="20"/>
          <w:szCs w:val="20"/>
        </w:rPr>
      </w:pPr>
      <w:r>
        <w:rPr>
          <w:rFonts w:ascii="Arial" w:hAnsi="Arial" w:cs="Arial"/>
          <w:sz w:val="20"/>
          <w:szCs w:val="20"/>
        </w:rPr>
        <w:t>L</w:t>
      </w:r>
      <w:r w:rsidR="0027561D" w:rsidRPr="0027561D">
        <w:rPr>
          <w:rFonts w:ascii="Arial" w:hAnsi="Arial" w:cs="Arial"/>
          <w:sz w:val="20"/>
          <w:szCs w:val="20"/>
        </w:rPr>
        <w:t xml:space="preserve">a Fondation </w:t>
      </w:r>
      <w:proofErr w:type="spellStart"/>
      <w:r w:rsidR="0027561D" w:rsidRPr="0027561D">
        <w:rPr>
          <w:rFonts w:ascii="Arial" w:hAnsi="Arial" w:cs="Arial"/>
          <w:sz w:val="20"/>
          <w:szCs w:val="20"/>
        </w:rPr>
        <w:t>Urgenda</w:t>
      </w:r>
      <w:proofErr w:type="spellEnd"/>
      <w:r>
        <w:rPr>
          <w:rFonts w:ascii="Arial" w:hAnsi="Arial" w:cs="Arial"/>
          <w:sz w:val="20"/>
          <w:szCs w:val="20"/>
        </w:rPr>
        <w:t xml:space="preserve"> </w:t>
      </w:r>
      <w:r w:rsidR="0027561D" w:rsidRPr="0027561D">
        <w:rPr>
          <w:rFonts w:ascii="Arial" w:hAnsi="Arial" w:cs="Arial"/>
          <w:sz w:val="20"/>
          <w:szCs w:val="20"/>
        </w:rPr>
        <w:t xml:space="preserve">a poursuivi les Pays-Bas devant les tribunaux au nom de près de 900 citoyens, arguant que le gouvernement avait failli à son devoir de les protéger en adoptant des cibles de réduction des émissions de </w:t>
      </w:r>
      <w:r w:rsidR="00563328">
        <w:rPr>
          <w:rFonts w:ascii="Arial" w:hAnsi="Arial" w:cs="Arial"/>
          <w:sz w:val="20"/>
          <w:szCs w:val="20"/>
        </w:rPr>
        <w:t>GES</w:t>
      </w:r>
      <w:r w:rsidR="0027561D" w:rsidRPr="0027561D">
        <w:rPr>
          <w:rFonts w:ascii="Arial" w:hAnsi="Arial" w:cs="Arial"/>
          <w:sz w:val="20"/>
          <w:szCs w:val="20"/>
        </w:rPr>
        <w:t xml:space="preserve"> insuffisantes</w:t>
      </w:r>
      <w:r w:rsidR="001052B0" w:rsidRPr="0027561D">
        <w:rPr>
          <w:rFonts w:ascii="Arial" w:eastAsia="Arial" w:hAnsi="Arial" w:cs="Arial"/>
          <w:sz w:val="20"/>
          <w:szCs w:val="20"/>
        </w:rPr>
        <w:t xml:space="preserve">. </w:t>
      </w:r>
      <w:r w:rsidR="0027561D" w:rsidRPr="0027561D">
        <w:rPr>
          <w:rFonts w:ascii="Arial" w:eastAsia="Arial" w:hAnsi="Arial" w:cs="Arial"/>
          <w:sz w:val="20"/>
          <w:szCs w:val="20"/>
        </w:rPr>
        <w:t xml:space="preserve">En première instance, la Cour a déclaré en 2015 que le gouvernement avait échoué à son devoir de protéger et devrait avoir un plan pour réduire ses émissions de GES d’au moins 25 % </w:t>
      </w:r>
      <w:r>
        <w:rPr>
          <w:rFonts w:ascii="Arial" w:eastAsia="Arial" w:hAnsi="Arial" w:cs="Arial"/>
          <w:sz w:val="20"/>
          <w:szCs w:val="20"/>
        </w:rPr>
        <w:t>en</w:t>
      </w:r>
      <w:r w:rsidR="0027561D" w:rsidRPr="0027561D">
        <w:rPr>
          <w:rFonts w:ascii="Arial" w:eastAsia="Arial" w:hAnsi="Arial" w:cs="Arial"/>
          <w:sz w:val="20"/>
          <w:szCs w:val="20"/>
        </w:rPr>
        <w:t xml:space="preserve"> 2020 par rapport aux niveaux de 1990. Le gouvernement a fait appel de cette décision en septembre 2015, bien qu’il </w:t>
      </w:r>
      <w:r>
        <w:rPr>
          <w:rFonts w:ascii="Arial" w:eastAsia="Arial" w:hAnsi="Arial" w:cs="Arial"/>
          <w:sz w:val="20"/>
          <w:szCs w:val="20"/>
        </w:rPr>
        <w:t>ait</w:t>
      </w:r>
      <w:r w:rsidR="0027561D" w:rsidRPr="0027561D">
        <w:rPr>
          <w:rFonts w:ascii="Arial" w:eastAsia="Arial" w:hAnsi="Arial" w:cs="Arial"/>
          <w:sz w:val="20"/>
          <w:szCs w:val="20"/>
        </w:rPr>
        <w:t xml:space="preserve"> accepté de travailler avec </w:t>
      </w:r>
      <w:proofErr w:type="spellStart"/>
      <w:r w:rsidR="0027561D" w:rsidRPr="0027561D">
        <w:rPr>
          <w:rFonts w:ascii="Arial" w:eastAsia="Arial" w:hAnsi="Arial" w:cs="Arial"/>
          <w:sz w:val="20"/>
          <w:szCs w:val="20"/>
        </w:rPr>
        <w:t>Urgenda</w:t>
      </w:r>
      <w:proofErr w:type="spellEnd"/>
      <w:r w:rsidR="0027561D" w:rsidRPr="0027561D">
        <w:rPr>
          <w:rFonts w:ascii="Arial" w:eastAsia="Arial" w:hAnsi="Arial" w:cs="Arial"/>
          <w:sz w:val="20"/>
          <w:szCs w:val="20"/>
        </w:rPr>
        <w:t xml:space="preserve"> pour réduire les émissions totales du pays</w:t>
      </w:r>
      <w:r w:rsidR="001052B0" w:rsidRPr="0027561D">
        <w:rPr>
          <w:rFonts w:ascii="Arial" w:hAnsi="Arial" w:cs="Arial"/>
          <w:sz w:val="20"/>
          <w:szCs w:val="20"/>
        </w:rPr>
        <w:t xml:space="preserve">. </w:t>
      </w:r>
      <w:r w:rsidR="0027561D" w:rsidRPr="0027561D">
        <w:rPr>
          <w:rFonts w:ascii="Arial" w:hAnsi="Arial" w:cs="Arial"/>
          <w:sz w:val="20"/>
          <w:szCs w:val="20"/>
        </w:rPr>
        <w:t xml:space="preserve">En octobre 2018, la Cour d’appel de La Haye a confirmé la décision </w:t>
      </w:r>
      <w:r>
        <w:rPr>
          <w:rFonts w:ascii="Arial" w:hAnsi="Arial" w:cs="Arial"/>
          <w:sz w:val="20"/>
          <w:szCs w:val="20"/>
        </w:rPr>
        <w:t>de première instance</w:t>
      </w:r>
      <w:r w:rsidR="0027561D" w:rsidRPr="0027561D">
        <w:rPr>
          <w:rFonts w:ascii="Arial" w:hAnsi="Arial" w:cs="Arial"/>
          <w:sz w:val="20"/>
          <w:szCs w:val="20"/>
        </w:rPr>
        <w:t>, obligeant le gouvernement des Pays-Bas à élever son niveau d’ambition climatique et à réduire ses émissions de GES pour protéger les droits humains de ses citoyens</w:t>
      </w:r>
      <w:r w:rsidR="001052B0" w:rsidRPr="0027561D">
        <w:rPr>
          <w:rFonts w:ascii="Arial" w:eastAsia="Arial" w:hAnsi="Arial" w:cs="Arial"/>
          <w:sz w:val="20"/>
          <w:szCs w:val="20"/>
        </w:rPr>
        <w:t>.</w:t>
      </w:r>
      <w:r w:rsidR="00424A8B">
        <w:rPr>
          <w:rFonts w:ascii="Arial" w:eastAsia="Arial" w:hAnsi="Arial" w:cs="Arial"/>
          <w:sz w:val="20"/>
          <w:szCs w:val="20"/>
        </w:rPr>
        <w:t xml:space="preserve"> Dans un jugement historique rendu le 20 décembre 2019, la Cour suprême des Pays-Bas a rejeté l’appel du gouvernement néerlandais et maintenu les ordonnances rendues par les tribunaux inférieurs</w:t>
      </w:r>
      <w:r w:rsidR="001519CA">
        <w:rPr>
          <w:rStyle w:val="Appelnotedebasdep"/>
          <w:rFonts w:ascii="Arial" w:eastAsia="Arial" w:hAnsi="Arial" w:cs="Arial"/>
          <w:sz w:val="20"/>
          <w:szCs w:val="20"/>
        </w:rPr>
        <w:footnoteReference w:id="4"/>
      </w:r>
      <w:r w:rsidR="0027561D" w:rsidRPr="0027561D">
        <w:rPr>
          <w:rFonts w:ascii="Arial" w:hAnsi="Arial" w:cs="Arial"/>
          <w:sz w:val="20"/>
          <w:szCs w:val="20"/>
        </w:rPr>
        <w:t>.</w:t>
      </w:r>
    </w:p>
    <w:p w14:paraId="492C56D0" w14:textId="6C3FA3A1" w:rsidR="0027561D" w:rsidRDefault="0027561D" w:rsidP="005B2EBD">
      <w:pPr>
        <w:pStyle w:val="Normal1"/>
        <w:contextualSpacing w:val="0"/>
        <w:jc w:val="both"/>
        <w:rPr>
          <w:sz w:val="20"/>
          <w:szCs w:val="20"/>
          <w:lang w:val="fr-CA"/>
        </w:rPr>
      </w:pPr>
    </w:p>
    <w:p w14:paraId="0CDDBF3A" w14:textId="2568279C" w:rsidR="007B3B9B" w:rsidRPr="00C62823" w:rsidRDefault="007B3B9B" w:rsidP="005B2EBD">
      <w:pPr>
        <w:pStyle w:val="Titre1"/>
        <w:spacing w:line="276" w:lineRule="auto"/>
        <w:jc w:val="both"/>
        <w:rPr>
          <w:rFonts w:ascii="Arial" w:eastAsia="Arial" w:hAnsi="Arial" w:cs="Arial"/>
          <w:b/>
          <w:color w:val="000000"/>
          <w:sz w:val="20"/>
          <w:szCs w:val="20"/>
          <w:lang w:val="fr-CA"/>
        </w:rPr>
      </w:pPr>
      <w:proofErr w:type="spellStart"/>
      <w:r w:rsidRPr="00C62823">
        <w:rPr>
          <w:rFonts w:ascii="Arial" w:eastAsia="Arial" w:hAnsi="Arial" w:cs="Arial"/>
          <w:b/>
          <w:color w:val="000000"/>
          <w:sz w:val="20"/>
          <w:szCs w:val="20"/>
          <w:lang w:val="fr-CA"/>
        </w:rPr>
        <w:t>Peña</w:t>
      </w:r>
      <w:proofErr w:type="spellEnd"/>
      <w:r w:rsidRPr="00C62823">
        <w:rPr>
          <w:rFonts w:ascii="Arial" w:eastAsia="Arial" w:hAnsi="Arial" w:cs="Arial"/>
          <w:b/>
          <w:color w:val="000000"/>
          <w:sz w:val="20"/>
          <w:szCs w:val="20"/>
          <w:lang w:val="fr-CA"/>
        </w:rPr>
        <w:t xml:space="preserve"> </w:t>
      </w:r>
      <w:r>
        <w:rPr>
          <w:rFonts w:ascii="Arial" w:eastAsia="Arial" w:hAnsi="Arial" w:cs="Arial"/>
          <w:b/>
          <w:color w:val="000000"/>
          <w:sz w:val="20"/>
          <w:szCs w:val="20"/>
          <w:lang w:val="fr-CA"/>
        </w:rPr>
        <w:t>et autres</w:t>
      </w:r>
      <w:r w:rsidRPr="00C62823">
        <w:rPr>
          <w:rFonts w:ascii="Arial" w:eastAsia="Arial" w:hAnsi="Arial" w:cs="Arial"/>
          <w:b/>
          <w:color w:val="000000"/>
          <w:sz w:val="20"/>
          <w:szCs w:val="20"/>
          <w:lang w:val="fr-CA"/>
        </w:rPr>
        <w:t xml:space="preserve"> c. Gouvernement de Colombie</w:t>
      </w:r>
    </w:p>
    <w:p w14:paraId="31FDC6DF" w14:textId="47528DAB" w:rsidR="007B3B9B" w:rsidRPr="00943817" w:rsidRDefault="007B3B9B" w:rsidP="005B2EBD">
      <w:pPr>
        <w:spacing w:line="276" w:lineRule="auto"/>
        <w:jc w:val="both"/>
        <w:rPr>
          <w:rFonts w:ascii="Arial" w:eastAsia="Arial" w:hAnsi="Arial" w:cs="Arial"/>
          <w:color w:val="000000" w:themeColor="text1"/>
          <w:sz w:val="20"/>
          <w:szCs w:val="20"/>
          <w:highlight w:val="yellow"/>
        </w:rPr>
      </w:pPr>
      <w:r w:rsidRPr="00943817">
        <w:rPr>
          <w:rFonts w:ascii="Arial" w:eastAsia="Arial" w:hAnsi="Arial" w:cs="Arial"/>
          <w:sz w:val="20"/>
          <w:szCs w:val="20"/>
        </w:rPr>
        <w:t xml:space="preserve">Un groupe de 25 jeunes, appuyé par </w:t>
      </w:r>
      <w:proofErr w:type="spellStart"/>
      <w:r w:rsidRPr="00943817">
        <w:rPr>
          <w:rFonts w:ascii="Arial" w:eastAsia="Arial" w:hAnsi="Arial" w:cs="Arial"/>
          <w:i/>
          <w:sz w:val="20"/>
          <w:szCs w:val="20"/>
        </w:rPr>
        <w:t>Dejusticia</w:t>
      </w:r>
      <w:proofErr w:type="spellEnd"/>
      <w:r w:rsidRPr="00943817">
        <w:rPr>
          <w:rFonts w:ascii="Arial" w:eastAsia="Arial" w:hAnsi="Arial" w:cs="Arial"/>
          <w:sz w:val="20"/>
          <w:szCs w:val="20"/>
        </w:rPr>
        <w:t xml:space="preserve">, </w:t>
      </w:r>
      <w:r w:rsidR="00C65B56">
        <w:rPr>
          <w:rFonts w:ascii="Arial" w:eastAsia="Arial" w:hAnsi="Arial" w:cs="Arial"/>
          <w:sz w:val="20"/>
          <w:szCs w:val="20"/>
        </w:rPr>
        <w:t>a</w:t>
      </w:r>
      <w:r w:rsidRPr="00943817">
        <w:rPr>
          <w:rFonts w:ascii="Arial" w:eastAsia="Arial" w:hAnsi="Arial" w:cs="Arial"/>
          <w:sz w:val="20"/>
          <w:szCs w:val="20"/>
        </w:rPr>
        <w:t xml:space="preserve"> poursuivi le gouvernement colombien pour avoir échoué à respecter ses engagements climatiques. Dans un gain historique en avril 2018, la Cour suprême de Colombie a tenu le gouvernement responsable de ne pas freiner la déforestation croissante de la forêt Amazonienne, causant ainsi une augmentation de la température moyenne du pays et menaçant les droits des jeunes à la vie, à la santé, à l’alimentation, à l’eau et à un environnement sain.</w:t>
      </w:r>
      <w:r w:rsidRPr="00943817">
        <w:rPr>
          <w:rFonts w:ascii="Arial" w:eastAsia="Helvetica Neue Light" w:hAnsi="Arial" w:cs="Arial"/>
          <w:color w:val="000000" w:themeColor="text1"/>
          <w:sz w:val="20"/>
          <w:szCs w:val="20"/>
          <w:vertAlign w:val="superscript"/>
        </w:rPr>
        <w:t xml:space="preserve"> </w:t>
      </w:r>
      <w:r w:rsidRPr="00943817">
        <w:rPr>
          <w:rFonts w:ascii="Arial" w:eastAsia="Arial" w:hAnsi="Arial" w:cs="Arial"/>
          <w:color w:val="000000" w:themeColor="text1"/>
          <w:sz w:val="20"/>
          <w:szCs w:val="20"/>
        </w:rPr>
        <w:t>La Cour suprême a ordonné deux éléments principaux</w:t>
      </w:r>
      <w:r w:rsidR="00C65B56">
        <w:rPr>
          <w:rFonts w:ascii="Arial" w:eastAsia="Arial" w:hAnsi="Arial" w:cs="Arial"/>
          <w:color w:val="000000" w:themeColor="text1"/>
          <w:sz w:val="20"/>
          <w:szCs w:val="20"/>
        </w:rPr>
        <w:t> </w:t>
      </w:r>
      <w:r w:rsidRPr="00943817">
        <w:rPr>
          <w:rFonts w:ascii="Arial" w:eastAsia="Arial" w:hAnsi="Arial" w:cs="Arial"/>
          <w:color w:val="000000" w:themeColor="text1"/>
          <w:sz w:val="20"/>
          <w:szCs w:val="20"/>
        </w:rPr>
        <w:t xml:space="preserve">: élaborer un plan d'action à court, moyen et </w:t>
      </w:r>
      <w:proofErr w:type="gramStart"/>
      <w:r w:rsidRPr="00943817">
        <w:rPr>
          <w:rFonts w:ascii="Arial" w:eastAsia="Arial" w:hAnsi="Arial" w:cs="Arial"/>
          <w:color w:val="000000" w:themeColor="text1"/>
          <w:sz w:val="20"/>
          <w:szCs w:val="20"/>
        </w:rPr>
        <w:t>long termes</w:t>
      </w:r>
      <w:proofErr w:type="gramEnd"/>
      <w:r w:rsidRPr="00943817">
        <w:rPr>
          <w:rFonts w:ascii="Arial" w:eastAsia="Arial" w:hAnsi="Arial" w:cs="Arial"/>
          <w:color w:val="000000" w:themeColor="text1"/>
          <w:sz w:val="20"/>
          <w:szCs w:val="20"/>
        </w:rPr>
        <w:t xml:space="preserve"> pour mettre fin à la déforestation dans un délai de quatre mois, et créer un pacte intergénérationnel pour la vie de l'Amazonie colombienne dans un délai de cinq mois. La décision est également novatrice, car elle a reconnu que le bassin amazonien est un «</w:t>
      </w:r>
      <w:r w:rsidR="00C65B56">
        <w:rPr>
          <w:rFonts w:ascii="Arial" w:eastAsia="Arial" w:hAnsi="Arial" w:cs="Arial"/>
          <w:color w:val="000000" w:themeColor="text1"/>
          <w:sz w:val="20"/>
          <w:szCs w:val="20"/>
        </w:rPr>
        <w:t> </w:t>
      </w:r>
      <w:r w:rsidRPr="00943817">
        <w:rPr>
          <w:rFonts w:ascii="Arial" w:eastAsia="Arial" w:hAnsi="Arial" w:cs="Arial"/>
          <w:color w:val="000000" w:themeColor="text1"/>
          <w:sz w:val="20"/>
          <w:szCs w:val="20"/>
        </w:rPr>
        <w:t xml:space="preserve">sujet de droits ». Il s'agit du premier cas climatique dans lequel un bassin hydrographique est reconnu comme </w:t>
      </w:r>
      <w:r>
        <w:rPr>
          <w:rFonts w:ascii="Arial" w:eastAsia="Arial" w:hAnsi="Arial" w:cs="Arial"/>
          <w:color w:val="000000" w:themeColor="text1"/>
          <w:sz w:val="20"/>
          <w:szCs w:val="20"/>
        </w:rPr>
        <w:t xml:space="preserve">étant un </w:t>
      </w:r>
      <w:r w:rsidRPr="00943817">
        <w:rPr>
          <w:rFonts w:ascii="Arial" w:eastAsia="Arial" w:hAnsi="Arial" w:cs="Arial"/>
          <w:color w:val="000000" w:themeColor="text1"/>
          <w:sz w:val="20"/>
          <w:szCs w:val="20"/>
        </w:rPr>
        <w:t xml:space="preserve">titulaire légitime de droits </w:t>
      </w:r>
      <w:r>
        <w:rPr>
          <w:rFonts w:ascii="Arial" w:eastAsia="Arial" w:hAnsi="Arial" w:cs="Arial"/>
          <w:color w:val="000000" w:themeColor="text1"/>
          <w:sz w:val="20"/>
          <w:szCs w:val="20"/>
        </w:rPr>
        <w:t xml:space="preserve">et </w:t>
      </w:r>
      <w:r w:rsidRPr="00943817">
        <w:rPr>
          <w:rFonts w:ascii="Arial" w:eastAsia="Arial" w:hAnsi="Arial" w:cs="Arial"/>
          <w:color w:val="000000" w:themeColor="text1"/>
          <w:sz w:val="20"/>
          <w:szCs w:val="20"/>
        </w:rPr>
        <w:t>dont les intérêts peuvent être représentés devant un tribunal.</w:t>
      </w:r>
    </w:p>
    <w:p w14:paraId="67B2355A" w14:textId="77777777" w:rsidR="00A24C85" w:rsidRPr="0027561D" w:rsidRDefault="00A24C85" w:rsidP="005B2EBD">
      <w:pPr>
        <w:pStyle w:val="Normal1"/>
        <w:contextualSpacing w:val="0"/>
        <w:jc w:val="both"/>
        <w:rPr>
          <w:sz w:val="20"/>
          <w:szCs w:val="20"/>
          <w:lang w:val="fr-CA"/>
        </w:rPr>
      </w:pPr>
    </w:p>
    <w:p w14:paraId="66AD6A20" w14:textId="6ED90E9E" w:rsidR="00A24C85" w:rsidRPr="00C65B56" w:rsidRDefault="00A24C85" w:rsidP="005B2EBD">
      <w:pPr>
        <w:pStyle w:val="Titre1"/>
        <w:spacing w:line="276" w:lineRule="auto"/>
        <w:jc w:val="both"/>
        <w:rPr>
          <w:rFonts w:ascii="Arial" w:eastAsia="Arial" w:hAnsi="Arial" w:cs="Arial"/>
          <w:b/>
          <w:bCs/>
          <w:color w:val="000000"/>
          <w:sz w:val="20"/>
          <w:szCs w:val="20"/>
          <w:lang w:val="fr-CA"/>
        </w:rPr>
      </w:pPr>
      <w:r w:rsidRPr="00C65B56">
        <w:rPr>
          <w:rFonts w:ascii="Arial" w:eastAsia="Arial" w:hAnsi="Arial" w:cs="Arial"/>
          <w:b/>
          <w:bCs/>
          <w:color w:val="000000"/>
          <w:sz w:val="20"/>
          <w:szCs w:val="20"/>
          <w:lang w:val="fr-CA"/>
        </w:rPr>
        <w:t>Neubauer et a</w:t>
      </w:r>
      <w:r w:rsidR="009D022E" w:rsidRPr="00C65B56">
        <w:rPr>
          <w:rFonts w:ascii="Arial" w:eastAsia="Arial" w:hAnsi="Arial" w:cs="Arial"/>
          <w:b/>
          <w:bCs/>
          <w:color w:val="000000"/>
          <w:sz w:val="20"/>
          <w:szCs w:val="20"/>
          <w:lang w:val="fr-CA"/>
        </w:rPr>
        <w:t>utres</w:t>
      </w:r>
      <w:r w:rsidRPr="00C65B56">
        <w:rPr>
          <w:rFonts w:ascii="Arial" w:eastAsia="Arial" w:hAnsi="Arial" w:cs="Arial"/>
          <w:b/>
          <w:bCs/>
          <w:color w:val="000000"/>
          <w:sz w:val="20"/>
          <w:szCs w:val="20"/>
          <w:lang w:val="fr-CA"/>
        </w:rPr>
        <w:t xml:space="preserve"> c. Allemagne</w:t>
      </w:r>
    </w:p>
    <w:p w14:paraId="4E246739" w14:textId="5F390290" w:rsidR="00A24C85" w:rsidRPr="00FA590F" w:rsidRDefault="00FA590F" w:rsidP="005B2EBD">
      <w:pPr>
        <w:pStyle w:val="Titre1"/>
        <w:spacing w:line="276" w:lineRule="auto"/>
        <w:jc w:val="both"/>
        <w:rPr>
          <w:rFonts w:ascii="Arial" w:eastAsia="Arial" w:hAnsi="Arial" w:cs="Arial"/>
          <w:color w:val="000000"/>
          <w:sz w:val="20"/>
          <w:szCs w:val="20"/>
          <w:lang w:val="fr-CA"/>
        </w:rPr>
      </w:pPr>
      <w:r w:rsidRPr="00FA590F">
        <w:rPr>
          <w:rFonts w:ascii="Arial" w:eastAsia="Arial" w:hAnsi="Arial" w:cs="Arial"/>
          <w:color w:val="000000"/>
          <w:sz w:val="20"/>
          <w:szCs w:val="20"/>
          <w:lang w:val="fr-CA"/>
        </w:rPr>
        <w:t>Neuf jeunes Allemands ont intenté un recours devan</w:t>
      </w:r>
      <w:r>
        <w:rPr>
          <w:rFonts w:ascii="Arial" w:eastAsia="Arial" w:hAnsi="Arial" w:cs="Arial"/>
          <w:color w:val="000000"/>
          <w:sz w:val="20"/>
          <w:szCs w:val="20"/>
          <w:lang w:val="fr-CA"/>
        </w:rPr>
        <w:t xml:space="preserve">t la Cour constitutionnelle allemande, alléguant </w:t>
      </w:r>
      <w:r w:rsidR="00742E47" w:rsidRPr="00742E47">
        <w:rPr>
          <w:rFonts w:ascii="Arial" w:eastAsia="Arial" w:hAnsi="Arial" w:cs="Arial"/>
          <w:color w:val="000000"/>
          <w:sz w:val="20"/>
          <w:szCs w:val="20"/>
          <w:lang w:val="fr-CA"/>
        </w:rPr>
        <w:t xml:space="preserve">que l’objectif </w:t>
      </w:r>
      <w:r w:rsidR="00742E47">
        <w:rPr>
          <w:rFonts w:ascii="Arial" w:eastAsia="Arial" w:hAnsi="Arial" w:cs="Arial"/>
          <w:color w:val="000000"/>
          <w:sz w:val="20"/>
          <w:szCs w:val="20"/>
          <w:lang w:val="fr-CA"/>
        </w:rPr>
        <w:t xml:space="preserve">étatique </w:t>
      </w:r>
      <w:r w:rsidR="00742E47" w:rsidRPr="00742E47">
        <w:rPr>
          <w:rFonts w:ascii="Arial" w:eastAsia="Arial" w:hAnsi="Arial" w:cs="Arial"/>
          <w:color w:val="000000"/>
          <w:sz w:val="20"/>
          <w:szCs w:val="20"/>
          <w:lang w:val="fr-CA"/>
        </w:rPr>
        <w:t>de réduction d’émission de GES de 55</w:t>
      </w:r>
      <w:r w:rsidR="00665829">
        <w:rPr>
          <w:rFonts w:ascii="Arial" w:eastAsia="Arial" w:hAnsi="Arial" w:cs="Arial"/>
          <w:color w:val="000000"/>
          <w:sz w:val="20"/>
          <w:szCs w:val="20"/>
          <w:lang w:val="fr-CA"/>
        </w:rPr>
        <w:t> </w:t>
      </w:r>
      <w:r w:rsidR="00742E47" w:rsidRPr="00742E47">
        <w:rPr>
          <w:rFonts w:ascii="Arial" w:eastAsia="Arial" w:hAnsi="Arial" w:cs="Arial"/>
          <w:color w:val="000000"/>
          <w:sz w:val="20"/>
          <w:szCs w:val="20"/>
          <w:lang w:val="fr-CA"/>
        </w:rPr>
        <w:t xml:space="preserve">% </w:t>
      </w:r>
      <w:r w:rsidR="00742E47">
        <w:rPr>
          <w:rFonts w:ascii="Arial" w:eastAsia="Arial" w:hAnsi="Arial" w:cs="Arial"/>
          <w:color w:val="000000"/>
          <w:sz w:val="20"/>
          <w:szCs w:val="20"/>
          <w:lang w:val="fr-CA"/>
        </w:rPr>
        <w:t xml:space="preserve">était </w:t>
      </w:r>
      <w:r w:rsidR="00742E47" w:rsidRPr="00742E47">
        <w:rPr>
          <w:rFonts w:ascii="Arial" w:eastAsia="Arial" w:hAnsi="Arial" w:cs="Arial"/>
          <w:color w:val="000000"/>
          <w:sz w:val="20"/>
          <w:szCs w:val="20"/>
          <w:lang w:val="fr-CA"/>
        </w:rPr>
        <w:t xml:space="preserve">bien trop faible pour </w:t>
      </w:r>
      <w:r w:rsidR="00742E47">
        <w:rPr>
          <w:rFonts w:ascii="Arial" w:eastAsia="Arial" w:hAnsi="Arial" w:cs="Arial"/>
          <w:color w:val="000000"/>
          <w:sz w:val="20"/>
          <w:szCs w:val="20"/>
          <w:lang w:val="fr-CA"/>
        </w:rPr>
        <w:t>limiter l’augmentation des températures à</w:t>
      </w:r>
      <w:r w:rsidR="00742E47" w:rsidRPr="00742E47">
        <w:rPr>
          <w:rFonts w:ascii="Arial" w:eastAsia="Arial" w:hAnsi="Arial" w:cs="Arial"/>
          <w:color w:val="000000"/>
          <w:sz w:val="20"/>
          <w:szCs w:val="20"/>
          <w:lang w:val="fr-CA"/>
        </w:rPr>
        <w:t xml:space="preserve"> 2°C</w:t>
      </w:r>
      <w:r w:rsidR="00742E47">
        <w:rPr>
          <w:rFonts w:ascii="Arial" w:eastAsia="Arial" w:hAnsi="Arial" w:cs="Arial"/>
          <w:color w:val="000000"/>
          <w:sz w:val="20"/>
          <w:szCs w:val="20"/>
          <w:lang w:val="fr-CA"/>
        </w:rPr>
        <w:t>. Ils reprochaient également au gouvernement allemand de ne pas avoir de plan de réduction des GES au-delà de 2030. D</w:t>
      </w:r>
      <w:r w:rsidR="00742E47" w:rsidRPr="00742E47">
        <w:rPr>
          <w:rFonts w:ascii="Arial" w:eastAsia="Arial" w:hAnsi="Arial" w:cs="Arial"/>
          <w:color w:val="000000"/>
          <w:sz w:val="20"/>
          <w:szCs w:val="20"/>
          <w:lang w:val="fr-CA"/>
        </w:rPr>
        <w:t>ans sa décision du 24 mars 2021</w:t>
      </w:r>
      <w:r w:rsidR="00742E47">
        <w:rPr>
          <w:rFonts w:ascii="Arial" w:eastAsia="Arial" w:hAnsi="Arial" w:cs="Arial"/>
          <w:color w:val="000000"/>
          <w:sz w:val="20"/>
          <w:szCs w:val="20"/>
          <w:lang w:val="fr-CA"/>
        </w:rPr>
        <w:t xml:space="preserve">, </w:t>
      </w:r>
      <w:r w:rsidR="00742E47">
        <w:rPr>
          <w:rFonts w:ascii="Arial" w:eastAsia="Arial" w:hAnsi="Arial" w:cs="Arial"/>
          <w:color w:val="000000"/>
          <w:sz w:val="20"/>
          <w:szCs w:val="20"/>
          <w:lang w:val="fr-CA"/>
        </w:rPr>
        <w:lastRenderedPageBreak/>
        <w:t xml:space="preserve">la Cour constitutionnelle allemande a partiellement donné raison aux jeunes requérants </w:t>
      </w:r>
      <w:r w:rsidR="003E3F86">
        <w:rPr>
          <w:rFonts w:ascii="Arial" w:eastAsia="Arial" w:hAnsi="Arial" w:cs="Arial"/>
          <w:color w:val="000000"/>
          <w:sz w:val="20"/>
          <w:szCs w:val="20"/>
          <w:lang w:val="fr-CA"/>
        </w:rPr>
        <w:t xml:space="preserve">en s’appuyant sur </w:t>
      </w:r>
      <w:r w:rsidR="003E3F86" w:rsidRPr="003E3F86">
        <w:rPr>
          <w:rFonts w:ascii="Arial" w:eastAsia="Arial" w:hAnsi="Arial" w:cs="Arial"/>
          <w:color w:val="000000"/>
          <w:sz w:val="20"/>
          <w:szCs w:val="20"/>
          <w:lang w:val="fr-CA"/>
        </w:rPr>
        <w:t>le principe de proportionnalité de la charge à porter</w:t>
      </w:r>
      <w:r w:rsidR="003E3F86">
        <w:rPr>
          <w:rFonts w:ascii="Arial" w:eastAsia="Arial" w:hAnsi="Arial" w:cs="Arial"/>
          <w:color w:val="000000"/>
          <w:sz w:val="20"/>
          <w:szCs w:val="20"/>
          <w:lang w:val="fr-CA"/>
        </w:rPr>
        <w:t xml:space="preserve">, </w:t>
      </w:r>
      <w:r w:rsidR="003E3F86" w:rsidRPr="003E3F86">
        <w:rPr>
          <w:rFonts w:ascii="Arial" w:eastAsia="Arial" w:hAnsi="Arial" w:cs="Arial"/>
          <w:color w:val="000000"/>
          <w:sz w:val="20"/>
          <w:szCs w:val="20"/>
          <w:lang w:val="fr-CA"/>
        </w:rPr>
        <w:t xml:space="preserve">selon </w:t>
      </w:r>
      <w:r w:rsidR="003E3F86">
        <w:rPr>
          <w:rFonts w:ascii="Arial" w:eastAsia="Arial" w:hAnsi="Arial" w:cs="Arial"/>
          <w:color w:val="000000"/>
          <w:sz w:val="20"/>
          <w:szCs w:val="20"/>
          <w:lang w:val="fr-CA"/>
        </w:rPr>
        <w:t>lequel</w:t>
      </w:r>
      <w:r w:rsidR="003E3F86" w:rsidRPr="003E3F86">
        <w:rPr>
          <w:rFonts w:ascii="Arial" w:eastAsia="Arial" w:hAnsi="Arial" w:cs="Arial"/>
          <w:color w:val="000000"/>
          <w:sz w:val="20"/>
          <w:szCs w:val="20"/>
          <w:lang w:val="fr-CA"/>
        </w:rPr>
        <w:t xml:space="preserve"> la réduction des émissions de CO</w:t>
      </w:r>
      <w:r w:rsidR="003E3F86" w:rsidRPr="00665829">
        <w:rPr>
          <w:rFonts w:ascii="Arial" w:eastAsia="Arial" w:hAnsi="Arial" w:cs="Arial"/>
          <w:color w:val="000000"/>
          <w:sz w:val="20"/>
          <w:szCs w:val="20"/>
          <w:vertAlign w:val="subscript"/>
          <w:lang w:val="fr-CA"/>
        </w:rPr>
        <w:t>2</w:t>
      </w:r>
      <w:r w:rsidR="003E3F86" w:rsidRPr="003E3F86">
        <w:rPr>
          <w:rFonts w:ascii="Arial" w:eastAsia="Arial" w:hAnsi="Arial" w:cs="Arial"/>
          <w:color w:val="000000"/>
          <w:sz w:val="20"/>
          <w:szCs w:val="20"/>
          <w:lang w:val="fr-CA"/>
        </w:rPr>
        <w:t xml:space="preserve"> doit avoir lieu avec prévoyance et être répartie dans le temps d’une manière qui ménage les droits fondamentaux</w:t>
      </w:r>
      <w:r w:rsidR="00C65B56">
        <w:rPr>
          <w:rFonts w:ascii="Arial" w:eastAsia="Arial" w:hAnsi="Arial" w:cs="Arial"/>
          <w:color w:val="000000"/>
          <w:sz w:val="20"/>
          <w:szCs w:val="20"/>
          <w:lang w:val="fr-CA"/>
        </w:rPr>
        <w:t xml:space="preserve"> de toutes les générations</w:t>
      </w:r>
      <w:r w:rsidR="003E3F86">
        <w:rPr>
          <w:rFonts w:ascii="Arial" w:eastAsia="Arial" w:hAnsi="Arial" w:cs="Arial"/>
          <w:color w:val="000000"/>
          <w:sz w:val="20"/>
          <w:szCs w:val="20"/>
          <w:lang w:val="fr-CA"/>
        </w:rPr>
        <w:t xml:space="preserve">. </w:t>
      </w:r>
      <w:r w:rsidR="00B62FF9">
        <w:rPr>
          <w:rFonts w:ascii="Arial" w:eastAsia="Arial" w:hAnsi="Arial" w:cs="Arial"/>
          <w:color w:val="000000"/>
          <w:sz w:val="20"/>
          <w:szCs w:val="20"/>
          <w:lang w:val="fr-CA"/>
        </w:rPr>
        <w:t>L</w:t>
      </w:r>
      <w:r w:rsidR="00B62FF9" w:rsidRPr="00B62FF9">
        <w:rPr>
          <w:rFonts w:ascii="Arial" w:eastAsia="Arial" w:hAnsi="Arial" w:cs="Arial"/>
          <w:color w:val="000000"/>
          <w:sz w:val="20"/>
          <w:szCs w:val="20"/>
          <w:lang w:val="fr-CA"/>
        </w:rPr>
        <w:t xml:space="preserve">a Cour </w:t>
      </w:r>
      <w:r w:rsidR="00B62FF9">
        <w:rPr>
          <w:rFonts w:ascii="Arial" w:eastAsia="Arial" w:hAnsi="Arial" w:cs="Arial"/>
          <w:color w:val="000000"/>
          <w:sz w:val="20"/>
          <w:szCs w:val="20"/>
          <w:lang w:val="fr-CA"/>
        </w:rPr>
        <w:t>ordonne</w:t>
      </w:r>
      <w:r w:rsidR="00B62FF9" w:rsidRPr="00B62FF9">
        <w:rPr>
          <w:rFonts w:ascii="Arial" w:eastAsia="Arial" w:hAnsi="Arial" w:cs="Arial"/>
          <w:color w:val="000000"/>
          <w:sz w:val="20"/>
          <w:szCs w:val="20"/>
          <w:lang w:val="fr-CA"/>
        </w:rPr>
        <w:t xml:space="preserve"> au législateur de préciser des objectifs de réduction </w:t>
      </w:r>
      <w:r w:rsidR="00B62FF9">
        <w:rPr>
          <w:rFonts w:ascii="Arial" w:eastAsia="Arial" w:hAnsi="Arial" w:cs="Arial"/>
          <w:color w:val="000000"/>
          <w:sz w:val="20"/>
          <w:szCs w:val="20"/>
          <w:lang w:val="fr-CA"/>
        </w:rPr>
        <w:t>qui vont au-delà</w:t>
      </w:r>
      <w:r w:rsidR="00B62FF9" w:rsidRPr="00B62FF9">
        <w:rPr>
          <w:rFonts w:ascii="Arial" w:eastAsia="Arial" w:hAnsi="Arial" w:cs="Arial"/>
          <w:color w:val="000000"/>
          <w:sz w:val="20"/>
          <w:szCs w:val="20"/>
          <w:lang w:val="fr-CA"/>
        </w:rPr>
        <w:t xml:space="preserve"> 2030</w:t>
      </w:r>
      <w:r w:rsidR="00B62FF9">
        <w:rPr>
          <w:rFonts w:ascii="Arial" w:eastAsia="Arial" w:hAnsi="Arial" w:cs="Arial"/>
          <w:color w:val="000000"/>
          <w:sz w:val="20"/>
          <w:szCs w:val="20"/>
          <w:lang w:val="fr-CA"/>
        </w:rPr>
        <w:t>, et ce,</w:t>
      </w:r>
      <w:r w:rsidR="00B62FF9" w:rsidRPr="00B62FF9">
        <w:rPr>
          <w:rFonts w:ascii="Arial" w:eastAsia="Arial" w:hAnsi="Arial" w:cs="Arial"/>
          <w:color w:val="000000"/>
          <w:sz w:val="20"/>
          <w:szCs w:val="20"/>
          <w:lang w:val="fr-CA"/>
        </w:rPr>
        <w:t xml:space="preserve"> au plus tard en 2022</w:t>
      </w:r>
      <w:r>
        <w:rPr>
          <w:rStyle w:val="Appelnotedebasdep"/>
          <w:rFonts w:ascii="Arial" w:eastAsia="Arial" w:hAnsi="Arial" w:cs="Arial"/>
          <w:color w:val="000000"/>
          <w:sz w:val="20"/>
          <w:szCs w:val="20"/>
          <w:lang w:val="fr-CA"/>
        </w:rPr>
        <w:footnoteReference w:id="5"/>
      </w:r>
      <w:r w:rsidR="00742E47">
        <w:rPr>
          <w:rFonts w:ascii="Arial" w:eastAsia="Arial" w:hAnsi="Arial" w:cs="Arial"/>
          <w:color w:val="000000"/>
          <w:sz w:val="20"/>
          <w:szCs w:val="20"/>
          <w:lang w:val="fr-CA"/>
        </w:rPr>
        <w:t>.</w:t>
      </w:r>
    </w:p>
    <w:p w14:paraId="62F9214C" w14:textId="77777777" w:rsidR="00A24C85" w:rsidRPr="00FA590F" w:rsidRDefault="00A24C85" w:rsidP="005B2EBD">
      <w:pPr>
        <w:pStyle w:val="Titre1"/>
        <w:spacing w:line="276" w:lineRule="auto"/>
        <w:jc w:val="both"/>
        <w:rPr>
          <w:rFonts w:ascii="Arial" w:eastAsia="Arial" w:hAnsi="Arial" w:cs="Arial"/>
          <w:color w:val="000000"/>
          <w:sz w:val="20"/>
          <w:szCs w:val="20"/>
          <w:lang w:val="fr-CA"/>
        </w:rPr>
      </w:pPr>
    </w:p>
    <w:p w14:paraId="0DD60D0B" w14:textId="77777777" w:rsidR="00B62FF9" w:rsidRPr="00B62FF9" w:rsidRDefault="00B62FF9" w:rsidP="005B2EBD">
      <w:pPr>
        <w:pStyle w:val="Titre1"/>
        <w:spacing w:line="276" w:lineRule="auto"/>
        <w:jc w:val="both"/>
        <w:rPr>
          <w:rFonts w:ascii="Arial" w:eastAsia="Arial" w:hAnsi="Arial" w:cs="Arial"/>
          <w:b/>
          <w:bCs/>
          <w:color w:val="000000"/>
          <w:sz w:val="20"/>
          <w:szCs w:val="20"/>
          <w:lang w:val="fr-CA"/>
        </w:rPr>
      </w:pPr>
      <w:r w:rsidRPr="00B62FF9">
        <w:rPr>
          <w:rFonts w:ascii="Arial" w:eastAsia="Arial" w:hAnsi="Arial" w:cs="Arial"/>
          <w:b/>
          <w:bCs/>
          <w:color w:val="000000"/>
          <w:sz w:val="20"/>
          <w:szCs w:val="20"/>
          <w:lang w:val="fr-CA"/>
        </w:rPr>
        <w:t xml:space="preserve">« L’Affaire du siècle » : </w:t>
      </w:r>
      <w:r w:rsidR="00A24C85" w:rsidRPr="00B62FF9">
        <w:rPr>
          <w:rFonts w:ascii="Arial" w:eastAsia="Arial" w:hAnsi="Arial" w:cs="Arial"/>
          <w:b/>
          <w:bCs/>
          <w:color w:val="000000"/>
          <w:sz w:val="20"/>
          <w:szCs w:val="20"/>
          <w:lang w:val="fr-CA"/>
        </w:rPr>
        <w:t>Association Oxfam France et autres</w:t>
      </w:r>
    </w:p>
    <w:p w14:paraId="2A0348CF" w14:textId="371FB03E" w:rsidR="00B62FF9" w:rsidRDefault="00630233" w:rsidP="005B2EBD">
      <w:pPr>
        <w:pStyle w:val="Titre1"/>
        <w:spacing w:line="276" w:lineRule="auto"/>
        <w:jc w:val="both"/>
        <w:rPr>
          <w:rFonts w:ascii="Arial" w:eastAsia="Arial" w:hAnsi="Arial" w:cs="Arial"/>
          <w:color w:val="000000"/>
          <w:sz w:val="20"/>
          <w:szCs w:val="20"/>
          <w:lang w:val="fr-CA"/>
        </w:rPr>
      </w:pPr>
      <w:r>
        <w:rPr>
          <w:rFonts w:ascii="Arial" w:eastAsia="Arial" w:hAnsi="Arial" w:cs="Arial"/>
          <w:color w:val="000000"/>
          <w:sz w:val="20"/>
          <w:szCs w:val="20"/>
          <w:lang w:val="fr-CA"/>
        </w:rPr>
        <w:t>Quatre</w:t>
      </w:r>
      <w:r w:rsidR="009254F3">
        <w:rPr>
          <w:rFonts w:ascii="Arial" w:eastAsia="Arial" w:hAnsi="Arial" w:cs="Arial"/>
          <w:color w:val="000000"/>
          <w:sz w:val="20"/>
          <w:szCs w:val="20"/>
          <w:lang w:val="fr-CA"/>
        </w:rPr>
        <w:t xml:space="preserve"> organisations environnementales ont uni leurs forces et entamé un recours contre l’État français </w:t>
      </w:r>
      <w:r>
        <w:rPr>
          <w:rFonts w:ascii="Arial" w:eastAsia="Arial" w:hAnsi="Arial" w:cs="Arial"/>
          <w:color w:val="000000"/>
          <w:sz w:val="20"/>
          <w:szCs w:val="20"/>
          <w:lang w:val="fr-CA"/>
        </w:rPr>
        <w:t>afin que la justice</w:t>
      </w:r>
      <w:r w:rsidRPr="00630233">
        <w:rPr>
          <w:rFonts w:ascii="Arial" w:eastAsia="Arial" w:hAnsi="Arial" w:cs="Arial"/>
          <w:color w:val="000000"/>
          <w:sz w:val="20"/>
          <w:szCs w:val="20"/>
          <w:lang w:val="fr-CA"/>
        </w:rPr>
        <w:t xml:space="preserve"> reconnaisse la responsabilité de l’État et enjoigne </w:t>
      </w:r>
      <w:r>
        <w:rPr>
          <w:rFonts w:ascii="Arial" w:eastAsia="Arial" w:hAnsi="Arial" w:cs="Arial"/>
          <w:color w:val="000000"/>
          <w:sz w:val="20"/>
          <w:szCs w:val="20"/>
          <w:lang w:val="fr-CA"/>
        </w:rPr>
        <w:t>au gouvernement</w:t>
      </w:r>
      <w:r w:rsidRPr="00630233">
        <w:rPr>
          <w:rFonts w:ascii="Arial" w:eastAsia="Arial" w:hAnsi="Arial" w:cs="Arial"/>
          <w:color w:val="000000"/>
          <w:sz w:val="20"/>
          <w:szCs w:val="20"/>
          <w:lang w:val="fr-CA"/>
        </w:rPr>
        <w:t xml:space="preserve"> d’adopter toutes les mesures nécessaires pour mettre un terme </w:t>
      </w:r>
      <w:r>
        <w:rPr>
          <w:rFonts w:ascii="Arial" w:eastAsia="Arial" w:hAnsi="Arial" w:cs="Arial"/>
          <w:color w:val="000000"/>
          <w:sz w:val="20"/>
          <w:szCs w:val="20"/>
          <w:lang w:val="fr-CA"/>
        </w:rPr>
        <w:t>aux</w:t>
      </w:r>
      <w:r w:rsidRPr="00630233">
        <w:rPr>
          <w:rFonts w:ascii="Arial" w:eastAsia="Arial" w:hAnsi="Arial" w:cs="Arial"/>
          <w:color w:val="000000"/>
          <w:sz w:val="20"/>
          <w:szCs w:val="20"/>
          <w:lang w:val="fr-CA"/>
        </w:rPr>
        <w:t xml:space="preserve"> manquements de l’État et réparer les préjudices subis</w:t>
      </w:r>
      <w:r>
        <w:rPr>
          <w:rFonts w:ascii="Arial" w:eastAsia="Arial" w:hAnsi="Arial" w:cs="Arial"/>
          <w:color w:val="000000"/>
          <w:sz w:val="20"/>
          <w:szCs w:val="20"/>
          <w:lang w:val="fr-CA"/>
        </w:rPr>
        <w:t>.</w:t>
      </w:r>
      <w:r w:rsidR="009D022E">
        <w:rPr>
          <w:rFonts w:ascii="Arial" w:eastAsia="Arial" w:hAnsi="Arial" w:cs="Arial"/>
          <w:color w:val="000000"/>
          <w:sz w:val="20"/>
          <w:szCs w:val="20"/>
          <w:lang w:val="fr-CA"/>
        </w:rPr>
        <w:t xml:space="preserve"> Par un jugement du 3 février 2021, l</w:t>
      </w:r>
      <w:r>
        <w:rPr>
          <w:rFonts w:ascii="Arial" w:eastAsia="Arial" w:hAnsi="Arial" w:cs="Arial"/>
          <w:color w:val="000000"/>
          <w:sz w:val="20"/>
          <w:szCs w:val="20"/>
          <w:lang w:val="fr-CA"/>
        </w:rPr>
        <w:t>e Tribunal administratif de Paris a</w:t>
      </w:r>
      <w:r w:rsidRPr="00630233">
        <w:rPr>
          <w:rFonts w:ascii="Arial" w:eastAsia="Arial" w:hAnsi="Arial" w:cs="Arial"/>
          <w:color w:val="000000"/>
          <w:sz w:val="20"/>
          <w:szCs w:val="20"/>
          <w:lang w:val="fr-CA"/>
        </w:rPr>
        <w:t xml:space="preserve"> condamné l’</w:t>
      </w:r>
      <w:r w:rsidR="00665829">
        <w:rPr>
          <w:rFonts w:ascii="Arial" w:eastAsia="Arial" w:hAnsi="Arial" w:cs="Arial"/>
          <w:color w:val="000000"/>
          <w:sz w:val="20"/>
          <w:szCs w:val="20"/>
          <w:lang w:val="fr-CA"/>
        </w:rPr>
        <w:t>É</w:t>
      </w:r>
      <w:r w:rsidRPr="00630233">
        <w:rPr>
          <w:rFonts w:ascii="Arial" w:eastAsia="Arial" w:hAnsi="Arial" w:cs="Arial"/>
          <w:color w:val="000000"/>
          <w:sz w:val="20"/>
          <w:szCs w:val="20"/>
          <w:lang w:val="fr-CA"/>
        </w:rPr>
        <w:t>tat pour inaction climatique</w:t>
      </w:r>
      <w:r>
        <w:rPr>
          <w:rFonts w:ascii="Arial" w:eastAsia="Arial" w:hAnsi="Arial" w:cs="Arial"/>
          <w:color w:val="000000"/>
          <w:sz w:val="20"/>
          <w:szCs w:val="20"/>
          <w:lang w:val="fr-CA"/>
        </w:rPr>
        <w:t xml:space="preserve"> et </w:t>
      </w:r>
      <w:r w:rsidRPr="00630233">
        <w:rPr>
          <w:rFonts w:ascii="Arial" w:eastAsia="Arial" w:hAnsi="Arial" w:cs="Arial"/>
          <w:color w:val="000000"/>
          <w:sz w:val="20"/>
          <w:szCs w:val="20"/>
          <w:lang w:val="fr-CA"/>
        </w:rPr>
        <w:t xml:space="preserve">établi qu’il avait l’obligation de respecter sa trajectoire de réduction d’émissions de </w:t>
      </w:r>
      <w:r w:rsidR="00665829">
        <w:rPr>
          <w:rFonts w:ascii="Arial" w:eastAsia="Arial" w:hAnsi="Arial" w:cs="Arial"/>
          <w:color w:val="000000"/>
          <w:sz w:val="20"/>
          <w:szCs w:val="20"/>
          <w:lang w:val="fr-CA"/>
        </w:rPr>
        <w:t>GES</w:t>
      </w:r>
      <w:r w:rsidRPr="00630233">
        <w:rPr>
          <w:rFonts w:ascii="Arial" w:eastAsia="Arial" w:hAnsi="Arial" w:cs="Arial"/>
          <w:color w:val="000000"/>
          <w:sz w:val="20"/>
          <w:szCs w:val="20"/>
          <w:lang w:val="fr-CA"/>
        </w:rPr>
        <w:t xml:space="preserve"> d’ici 2030. Il a de plus</w:t>
      </w:r>
      <w:r>
        <w:rPr>
          <w:rFonts w:ascii="Arial" w:eastAsia="Arial" w:hAnsi="Arial" w:cs="Arial"/>
          <w:color w:val="000000"/>
          <w:sz w:val="20"/>
          <w:szCs w:val="20"/>
          <w:lang w:val="fr-CA"/>
        </w:rPr>
        <w:t xml:space="preserve"> ordonné</w:t>
      </w:r>
      <w:r w:rsidRPr="00630233">
        <w:rPr>
          <w:rFonts w:ascii="Arial" w:eastAsia="Arial" w:hAnsi="Arial" w:cs="Arial"/>
          <w:color w:val="000000"/>
          <w:sz w:val="20"/>
          <w:szCs w:val="20"/>
          <w:lang w:val="fr-CA"/>
        </w:rPr>
        <w:t xml:space="preserve"> à l’exécutif </w:t>
      </w:r>
      <w:r>
        <w:rPr>
          <w:rFonts w:ascii="Arial" w:eastAsia="Arial" w:hAnsi="Arial" w:cs="Arial"/>
          <w:color w:val="000000"/>
          <w:sz w:val="20"/>
          <w:szCs w:val="20"/>
          <w:lang w:val="fr-CA"/>
        </w:rPr>
        <w:t>de</w:t>
      </w:r>
      <w:r w:rsidRPr="00630233">
        <w:rPr>
          <w:rFonts w:ascii="Arial" w:eastAsia="Arial" w:hAnsi="Arial" w:cs="Arial"/>
          <w:color w:val="000000"/>
          <w:sz w:val="20"/>
          <w:szCs w:val="20"/>
          <w:lang w:val="fr-CA"/>
        </w:rPr>
        <w:t xml:space="preserve"> prendre </w:t>
      </w:r>
      <w:r w:rsidR="009D022E">
        <w:rPr>
          <w:rFonts w:ascii="Arial" w:eastAsia="Arial" w:hAnsi="Arial" w:cs="Arial"/>
          <w:color w:val="000000"/>
          <w:sz w:val="20"/>
          <w:szCs w:val="20"/>
          <w:lang w:val="fr-CA"/>
        </w:rPr>
        <w:t xml:space="preserve">avant le 31 décembre 2022 </w:t>
      </w:r>
      <w:r w:rsidRPr="00630233">
        <w:rPr>
          <w:rFonts w:ascii="Arial" w:eastAsia="Arial" w:hAnsi="Arial" w:cs="Arial"/>
          <w:color w:val="000000"/>
          <w:sz w:val="20"/>
          <w:szCs w:val="20"/>
          <w:lang w:val="fr-CA"/>
        </w:rPr>
        <w:t>«</w:t>
      </w:r>
      <w:r>
        <w:rPr>
          <w:rFonts w:ascii="Arial" w:eastAsia="Arial" w:hAnsi="Arial" w:cs="Arial"/>
          <w:color w:val="000000"/>
          <w:sz w:val="20"/>
          <w:szCs w:val="20"/>
          <w:lang w:val="fr-CA"/>
        </w:rPr>
        <w:t> </w:t>
      </w:r>
      <w:r w:rsidRPr="00630233">
        <w:rPr>
          <w:rFonts w:ascii="Arial" w:eastAsia="Arial" w:hAnsi="Arial" w:cs="Arial"/>
          <w:color w:val="000000"/>
          <w:sz w:val="20"/>
          <w:szCs w:val="20"/>
          <w:lang w:val="fr-CA"/>
        </w:rPr>
        <w:t>toutes les mesures utiles</w:t>
      </w:r>
      <w:r>
        <w:rPr>
          <w:rFonts w:ascii="Arial" w:eastAsia="Arial" w:hAnsi="Arial" w:cs="Arial"/>
          <w:color w:val="000000"/>
          <w:sz w:val="20"/>
          <w:szCs w:val="20"/>
          <w:lang w:val="fr-CA"/>
        </w:rPr>
        <w:t> </w:t>
      </w:r>
      <w:r w:rsidRPr="00630233">
        <w:rPr>
          <w:rFonts w:ascii="Arial" w:eastAsia="Arial" w:hAnsi="Arial" w:cs="Arial"/>
          <w:color w:val="000000"/>
          <w:sz w:val="20"/>
          <w:szCs w:val="20"/>
          <w:lang w:val="fr-CA"/>
        </w:rPr>
        <w:t xml:space="preserve">» afin de </w:t>
      </w:r>
      <w:r w:rsidR="009D022E">
        <w:rPr>
          <w:rFonts w:ascii="Arial" w:eastAsia="Arial" w:hAnsi="Arial" w:cs="Arial"/>
          <w:color w:val="000000"/>
          <w:sz w:val="20"/>
          <w:szCs w:val="20"/>
          <w:lang w:val="fr-CA"/>
        </w:rPr>
        <w:t>réparer le préjudice écologique en compensant</w:t>
      </w:r>
      <w:r w:rsidRPr="00630233">
        <w:rPr>
          <w:rFonts w:ascii="Arial" w:eastAsia="Arial" w:hAnsi="Arial" w:cs="Arial"/>
          <w:color w:val="000000"/>
          <w:sz w:val="20"/>
          <w:szCs w:val="20"/>
          <w:lang w:val="fr-CA"/>
        </w:rPr>
        <w:t xml:space="preserve"> l’excès d’émissions de CO</w:t>
      </w:r>
      <w:r w:rsidRPr="00665829">
        <w:rPr>
          <w:rFonts w:ascii="Arial" w:eastAsia="Arial" w:hAnsi="Arial" w:cs="Arial"/>
          <w:color w:val="000000"/>
          <w:sz w:val="20"/>
          <w:szCs w:val="20"/>
          <w:vertAlign w:val="subscript"/>
          <w:lang w:val="fr-CA"/>
        </w:rPr>
        <w:t>2</w:t>
      </w:r>
      <w:r w:rsidRPr="00630233">
        <w:rPr>
          <w:rFonts w:ascii="Arial" w:eastAsia="Arial" w:hAnsi="Arial" w:cs="Arial"/>
          <w:color w:val="000000"/>
          <w:sz w:val="20"/>
          <w:szCs w:val="20"/>
          <w:lang w:val="fr-CA"/>
        </w:rPr>
        <w:t xml:space="preserve"> constaté entre 2015 et 2018.</w:t>
      </w:r>
      <w:r w:rsidR="009D022E">
        <w:rPr>
          <w:rStyle w:val="Appelnotedebasdep"/>
          <w:rFonts w:ascii="Arial" w:eastAsia="Arial" w:hAnsi="Arial" w:cs="Arial"/>
          <w:color w:val="000000"/>
          <w:sz w:val="20"/>
          <w:szCs w:val="20"/>
          <w:lang w:val="fr-CA"/>
        </w:rPr>
        <w:footnoteReference w:id="6"/>
      </w:r>
    </w:p>
    <w:p w14:paraId="766BD6AA" w14:textId="77777777" w:rsidR="00A24C85" w:rsidRDefault="00A24C85" w:rsidP="005B2EBD">
      <w:pPr>
        <w:pStyle w:val="Titre1"/>
        <w:spacing w:line="276" w:lineRule="auto"/>
        <w:jc w:val="both"/>
        <w:rPr>
          <w:rFonts w:ascii="Arial" w:eastAsia="Arial" w:hAnsi="Arial" w:cs="Arial"/>
          <w:color w:val="000000"/>
          <w:sz w:val="20"/>
          <w:szCs w:val="20"/>
          <w:lang w:val="fr-CA"/>
        </w:rPr>
      </w:pPr>
    </w:p>
    <w:p w14:paraId="230CED3B" w14:textId="3CDF6BC2" w:rsidR="009D022E" w:rsidRPr="009D022E" w:rsidRDefault="00A24C85" w:rsidP="005B2EBD">
      <w:pPr>
        <w:pStyle w:val="Titre1"/>
        <w:spacing w:line="276" w:lineRule="auto"/>
        <w:jc w:val="both"/>
        <w:rPr>
          <w:rFonts w:ascii="Arial" w:eastAsia="Arial" w:hAnsi="Arial" w:cs="Arial"/>
          <w:b/>
          <w:bCs/>
          <w:color w:val="000000"/>
          <w:sz w:val="20"/>
          <w:szCs w:val="20"/>
          <w:lang w:val="fr-CA"/>
        </w:rPr>
      </w:pPr>
      <w:proofErr w:type="spellStart"/>
      <w:r w:rsidRPr="009D022E">
        <w:rPr>
          <w:rFonts w:ascii="Arial" w:eastAsia="Arial" w:hAnsi="Arial" w:cs="Arial"/>
          <w:b/>
          <w:bCs/>
          <w:color w:val="000000"/>
          <w:sz w:val="20"/>
          <w:szCs w:val="20"/>
          <w:lang w:val="fr-CA"/>
        </w:rPr>
        <w:t>Asghar</w:t>
      </w:r>
      <w:proofErr w:type="spellEnd"/>
      <w:r w:rsidRPr="009D022E">
        <w:rPr>
          <w:rFonts w:ascii="Arial" w:eastAsia="Arial" w:hAnsi="Arial" w:cs="Arial"/>
          <w:b/>
          <w:bCs/>
          <w:color w:val="000000"/>
          <w:sz w:val="20"/>
          <w:szCs w:val="20"/>
          <w:lang w:val="fr-CA"/>
        </w:rPr>
        <w:t xml:space="preserve"> </w:t>
      </w:r>
      <w:proofErr w:type="spellStart"/>
      <w:r w:rsidRPr="009D022E">
        <w:rPr>
          <w:rFonts w:ascii="Arial" w:eastAsia="Arial" w:hAnsi="Arial" w:cs="Arial"/>
          <w:b/>
          <w:bCs/>
          <w:color w:val="000000"/>
          <w:sz w:val="20"/>
          <w:szCs w:val="20"/>
          <w:lang w:val="fr-CA"/>
        </w:rPr>
        <w:t>Leghari</w:t>
      </w:r>
      <w:proofErr w:type="spellEnd"/>
      <w:r w:rsidRPr="009D022E">
        <w:rPr>
          <w:rFonts w:ascii="Arial" w:eastAsia="Arial" w:hAnsi="Arial" w:cs="Arial"/>
          <w:b/>
          <w:bCs/>
          <w:color w:val="000000"/>
          <w:sz w:val="20"/>
          <w:szCs w:val="20"/>
          <w:lang w:val="fr-CA"/>
        </w:rPr>
        <w:t xml:space="preserve"> </w:t>
      </w:r>
      <w:r w:rsidR="009D022E" w:rsidRPr="009D022E">
        <w:rPr>
          <w:rFonts w:ascii="Arial" w:eastAsia="Arial" w:hAnsi="Arial" w:cs="Arial"/>
          <w:b/>
          <w:bCs/>
          <w:color w:val="000000"/>
          <w:sz w:val="20"/>
          <w:szCs w:val="20"/>
          <w:lang w:val="fr-CA"/>
        </w:rPr>
        <w:t>c</w:t>
      </w:r>
      <w:r w:rsidRPr="009D022E">
        <w:rPr>
          <w:rFonts w:ascii="Arial" w:eastAsia="Arial" w:hAnsi="Arial" w:cs="Arial"/>
          <w:b/>
          <w:bCs/>
          <w:color w:val="000000"/>
          <w:sz w:val="20"/>
          <w:szCs w:val="20"/>
          <w:lang w:val="fr-CA"/>
        </w:rPr>
        <w:t xml:space="preserve">. </w:t>
      </w:r>
      <w:r w:rsidR="009D022E" w:rsidRPr="009D022E">
        <w:rPr>
          <w:rFonts w:ascii="Arial" w:eastAsia="Arial" w:hAnsi="Arial" w:cs="Arial"/>
          <w:b/>
          <w:bCs/>
          <w:color w:val="000000"/>
          <w:sz w:val="20"/>
          <w:szCs w:val="20"/>
          <w:lang w:val="fr-CA"/>
        </w:rPr>
        <w:t>Fédération du</w:t>
      </w:r>
      <w:r w:rsidRPr="009D022E">
        <w:rPr>
          <w:rFonts w:ascii="Arial" w:eastAsia="Arial" w:hAnsi="Arial" w:cs="Arial"/>
          <w:b/>
          <w:bCs/>
          <w:color w:val="000000"/>
          <w:sz w:val="20"/>
          <w:szCs w:val="20"/>
          <w:lang w:val="fr-CA"/>
        </w:rPr>
        <w:t xml:space="preserve"> Pakistan</w:t>
      </w:r>
    </w:p>
    <w:p w14:paraId="3EDCCC2C" w14:textId="5E88C1EB" w:rsidR="001052B0" w:rsidRPr="005D34C4" w:rsidRDefault="005D34C4" w:rsidP="005B2EBD">
      <w:pPr>
        <w:pStyle w:val="Titre1"/>
        <w:spacing w:line="276" w:lineRule="auto"/>
        <w:jc w:val="both"/>
        <w:rPr>
          <w:rFonts w:ascii="Arial" w:eastAsia="Arial" w:hAnsi="Arial" w:cs="Arial"/>
          <w:color w:val="000000"/>
          <w:sz w:val="20"/>
          <w:szCs w:val="20"/>
          <w:lang w:val="fr-CA"/>
        </w:rPr>
      </w:pPr>
      <w:proofErr w:type="spellStart"/>
      <w:r w:rsidRPr="005D34C4">
        <w:rPr>
          <w:rFonts w:ascii="Arial" w:eastAsia="Arial" w:hAnsi="Arial" w:cs="Arial"/>
          <w:color w:val="000000"/>
          <w:sz w:val="20"/>
          <w:szCs w:val="20"/>
          <w:lang w:val="fr-CA"/>
        </w:rPr>
        <w:t>Asghar</w:t>
      </w:r>
      <w:proofErr w:type="spellEnd"/>
      <w:r w:rsidRPr="005D34C4">
        <w:rPr>
          <w:rFonts w:ascii="Arial" w:eastAsia="Arial" w:hAnsi="Arial" w:cs="Arial"/>
          <w:color w:val="000000"/>
          <w:sz w:val="20"/>
          <w:szCs w:val="20"/>
          <w:lang w:val="fr-CA"/>
        </w:rPr>
        <w:t xml:space="preserve"> </w:t>
      </w:r>
      <w:proofErr w:type="spellStart"/>
      <w:r w:rsidRPr="005D34C4">
        <w:rPr>
          <w:rFonts w:ascii="Arial" w:eastAsia="Arial" w:hAnsi="Arial" w:cs="Arial"/>
          <w:color w:val="000000"/>
          <w:sz w:val="20"/>
          <w:szCs w:val="20"/>
          <w:lang w:val="fr-CA"/>
        </w:rPr>
        <w:t>Leghari</w:t>
      </w:r>
      <w:proofErr w:type="spellEnd"/>
      <w:r w:rsidRPr="005D34C4">
        <w:rPr>
          <w:rFonts w:ascii="Arial" w:eastAsia="Arial" w:hAnsi="Arial" w:cs="Arial"/>
          <w:color w:val="000000"/>
          <w:sz w:val="20"/>
          <w:szCs w:val="20"/>
          <w:lang w:val="fr-CA"/>
        </w:rPr>
        <w:t xml:space="preserve">, </w:t>
      </w:r>
      <w:r>
        <w:rPr>
          <w:rFonts w:ascii="Arial" w:eastAsia="Arial" w:hAnsi="Arial" w:cs="Arial"/>
          <w:color w:val="000000"/>
          <w:sz w:val="20"/>
          <w:szCs w:val="20"/>
          <w:lang w:val="fr-CA"/>
        </w:rPr>
        <w:t xml:space="preserve">un </w:t>
      </w:r>
      <w:r w:rsidRPr="005D34C4">
        <w:rPr>
          <w:rFonts w:ascii="Arial" w:eastAsia="Arial" w:hAnsi="Arial" w:cs="Arial"/>
          <w:color w:val="000000"/>
          <w:sz w:val="20"/>
          <w:szCs w:val="20"/>
          <w:lang w:val="fr-CA"/>
        </w:rPr>
        <w:t xml:space="preserve">agriculteur pakistanais de 25 ans, a </w:t>
      </w:r>
      <w:r w:rsidR="00A338C4">
        <w:rPr>
          <w:rFonts w:ascii="Arial" w:eastAsia="Arial" w:hAnsi="Arial" w:cs="Arial"/>
          <w:color w:val="000000"/>
          <w:sz w:val="20"/>
          <w:szCs w:val="20"/>
          <w:lang w:val="fr-CA"/>
        </w:rPr>
        <w:t>intenté</w:t>
      </w:r>
      <w:r w:rsidRPr="005D34C4">
        <w:rPr>
          <w:rFonts w:ascii="Arial" w:eastAsia="Arial" w:hAnsi="Arial" w:cs="Arial"/>
          <w:color w:val="000000"/>
          <w:sz w:val="20"/>
          <w:szCs w:val="20"/>
          <w:lang w:val="fr-CA"/>
        </w:rPr>
        <w:t xml:space="preserve"> un recours d’intérêt public</w:t>
      </w:r>
      <w:r>
        <w:rPr>
          <w:rFonts w:ascii="Arial" w:eastAsia="Arial" w:hAnsi="Arial" w:cs="Arial"/>
          <w:color w:val="000000"/>
          <w:sz w:val="20"/>
          <w:szCs w:val="20"/>
          <w:lang w:val="fr-CA"/>
        </w:rPr>
        <w:t xml:space="preserve"> </w:t>
      </w:r>
      <w:r w:rsidRPr="005D34C4">
        <w:rPr>
          <w:rFonts w:ascii="Arial" w:eastAsia="Arial" w:hAnsi="Arial" w:cs="Arial"/>
          <w:color w:val="000000"/>
          <w:sz w:val="20"/>
          <w:szCs w:val="20"/>
          <w:lang w:val="fr-CA"/>
        </w:rPr>
        <w:t>contestant l’inaction du gouvernement</w:t>
      </w:r>
      <w:r>
        <w:rPr>
          <w:rFonts w:ascii="Arial" w:eastAsia="Arial" w:hAnsi="Arial" w:cs="Arial"/>
          <w:color w:val="000000"/>
          <w:sz w:val="20"/>
          <w:szCs w:val="20"/>
          <w:lang w:val="fr-CA"/>
        </w:rPr>
        <w:t xml:space="preserve"> </w:t>
      </w:r>
      <w:r w:rsidRPr="005D34C4">
        <w:rPr>
          <w:rFonts w:ascii="Arial" w:eastAsia="Arial" w:hAnsi="Arial" w:cs="Arial"/>
          <w:color w:val="000000"/>
          <w:sz w:val="20"/>
          <w:szCs w:val="20"/>
          <w:lang w:val="fr-CA"/>
        </w:rPr>
        <w:t>fédéral pakistanais et du gouvernement de la province de Punjab face au changement</w:t>
      </w:r>
      <w:r>
        <w:rPr>
          <w:rFonts w:ascii="Arial" w:eastAsia="Arial" w:hAnsi="Arial" w:cs="Arial"/>
          <w:color w:val="000000"/>
          <w:sz w:val="20"/>
          <w:szCs w:val="20"/>
          <w:lang w:val="fr-CA"/>
        </w:rPr>
        <w:t xml:space="preserve"> </w:t>
      </w:r>
      <w:r w:rsidRPr="005D34C4">
        <w:rPr>
          <w:rFonts w:ascii="Arial" w:eastAsia="Arial" w:hAnsi="Arial" w:cs="Arial"/>
          <w:color w:val="000000"/>
          <w:sz w:val="20"/>
          <w:szCs w:val="20"/>
          <w:lang w:val="fr-CA"/>
        </w:rPr>
        <w:t>climatique</w:t>
      </w:r>
      <w:r>
        <w:rPr>
          <w:rFonts w:ascii="Arial" w:eastAsia="Arial" w:hAnsi="Arial" w:cs="Arial"/>
          <w:color w:val="000000"/>
          <w:sz w:val="20"/>
          <w:szCs w:val="20"/>
          <w:lang w:val="fr-CA"/>
        </w:rPr>
        <w:t xml:space="preserve">. </w:t>
      </w:r>
      <w:r w:rsidRPr="005D34C4">
        <w:rPr>
          <w:rFonts w:ascii="Arial" w:eastAsia="Arial" w:hAnsi="Arial" w:cs="Arial"/>
          <w:color w:val="000000"/>
          <w:sz w:val="20"/>
          <w:szCs w:val="20"/>
          <w:lang w:val="fr-CA"/>
        </w:rPr>
        <w:t xml:space="preserve">Le 4 septembre 2015, la </w:t>
      </w:r>
      <w:r>
        <w:rPr>
          <w:rFonts w:ascii="Arial" w:eastAsia="Arial" w:hAnsi="Arial" w:cs="Arial"/>
          <w:color w:val="000000"/>
          <w:sz w:val="20"/>
          <w:szCs w:val="20"/>
          <w:lang w:val="fr-CA"/>
        </w:rPr>
        <w:t xml:space="preserve">Haute </w:t>
      </w:r>
      <w:r w:rsidRPr="005D34C4">
        <w:rPr>
          <w:rFonts w:ascii="Arial" w:eastAsia="Arial" w:hAnsi="Arial" w:cs="Arial"/>
          <w:color w:val="000000"/>
          <w:sz w:val="20"/>
          <w:szCs w:val="20"/>
          <w:lang w:val="fr-CA"/>
        </w:rPr>
        <w:t xml:space="preserve">Cour </w:t>
      </w:r>
      <w:r>
        <w:rPr>
          <w:rFonts w:ascii="Arial" w:eastAsia="Arial" w:hAnsi="Arial" w:cs="Arial"/>
          <w:color w:val="000000"/>
          <w:sz w:val="20"/>
          <w:szCs w:val="20"/>
          <w:lang w:val="fr-CA"/>
        </w:rPr>
        <w:t xml:space="preserve">de Lahore </w:t>
      </w:r>
      <w:r w:rsidR="00A338C4">
        <w:rPr>
          <w:rFonts w:ascii="Arial" w:eastAsia="Arial" w:hAnsi="Arial" w:cs="Arial"/>
          <w:color w:val="000000"/>
          <w:sz w:val="20"/>
          <w:szCs w:val="20"/>
          <w:lang w:val="fr-CA"/>
        </w:rPr>
        <w:t>a conclu</w:t>
      </w:r>
      <w:r w:rsidRPr="005D34C4">
        <w:rPr>
          <w:rFonts w:ascii="Arial" w:eastAsia="Arial" w:hAnsi="Arial" w:cs="Arial"/>
          <w:color w:val="000000"/>
          <w:sz w:val="20"/>
          <w:szCs w:val="20"/>
          <w:lang w:val="fr-CA"/>
        </w:rPr>
        <w:t xml:space="preserve"> que le </w:t>
      </w:r>
      <w:r w:rsidR="00A338C4">
        <w:rPr>
          <w:rFonts w:ascii="Arial" w:eastAsia="Arial" w:hAnsi="Arial" w:cs="Arial"/>
          <w:color w:val="000000"/>
          <w:sz w:val="20"/>
          <w:szCs w:val="20"/>
          <w:lang w:val="fr-CA"/>
        </w:rPr>
        <w:t>retard</w:t>
      </w:r>
      <w:r w:rsidRPr="005D34C4">
        <w:rPr>
          <w:rFonts w:ascii="Arial" w:eastAsia="Arial" w:hAnsi="Arial" w:cs="Arial"/>
          <w:color w:val="000000"/>
          <w:sz w:val="20"/>
          <w:szCs w:val="20"/>
          <w:lang w:val="fr-CA"/>
        </w:rPr>
        <w:t xml:space="preserve"> dans l’exécution </w:t>
      </w:r>
      <w:r w:rsidR="00375795">
        <w:rPr>
          <w:rFonts w:ascii="Arial" w:eastAsia="Arial" w:hAnsi="Arial" w:cs="Arial"/>
          <w:color w:val="000000"/>
          <w:sz w:val="20"/>
          <w:szCs w:val="20"/>
          <w:lang w:val="fr-CA"/>
        </w:rPr>
        <w:t>de la politique nationale de lutte contre les changements climatiques</w:t>
      </w:r>
      <w:r w:rsidRPr="005D34C4">
        <w:rPr>
          <w:rFonts w:ascii="Arial" w:eastAsia="Arial" w:hAnsi="Arial" w:cs="Arial"/>
          <w:color w:val="000000"/>
          <w:sz w:val="20"/>
          <w:szCs w:val="20"/>
          <w:lang w:val="fr-CA"/>
        </w:rPr>
        <w:t xml:space="preserve"> viol</w:t>
      </w:r>
      <w:r w:rsidR="00A338C4">
        <w:rPr>
          <w:rFonts w:ascii="Arial" w:eastAsia="Arial" w:hAnsi="Arial" w:cs="Arial"/>
          <w:color w:val="000000"/>
          <w:sz w:val="20"/>
          <w:szCs w:val="20"/>
          <w:lang w:val="fr-CA"/>
        </w:rPr>
        <w:t>ait</w:t>
      </w:r>
      <w:r w:rsidRPr="005D34C4">
        <w:rPr>
          <w:rFonts w:ascii="Arial" w:eastAsia="Arial" w:hAnsi="Arial" w:cs="Arial"/>
          <w:color w:val="000000"/>
          <w:sz w:val="20"/>
          <w:szCs w:val="20"/>
          <w:lang w:val="fr-CA"/>
        </w:rPr>
        <w:t xml:space="preserve"> les droits</w:t>
      </w:r>
      <w:r>
        <w:rPr>
          <w:rFonts w:ascii="Arial" w:eastAsia="Arial" w:hAnsi="Arial" w:cs="Arial"/>
          <w:color w:val="000000"/>
          <w:sz w:val="20"/>
          <w:szCs w:val="20"/>
          <w:lang w:val="fr-CA"/>
        </w:rPr>
        <w:t xml:space="preserve"> </w:t>
      </w:r>
      <w:r w:rsidRPr="005D34C4">
        <w:rPr>
          <w:rFonts w:ascii="Arial" w:eastAsia="Arial" w:hAnsi="Arial" w:cs="Arial"/>
          <w:color w:val="000000"/>
          <w:sz w:val="20"/>
          <w:szCs w:val="20"/>
          <w:lang w:val="fr-CA"/>
        </w:rPr>
        <w:t>fondamentaux des citoyens</w:t>
      </w:r>
      <w:r>
        <w:rPr>
          <w:rFonts w:ascii="Arial" w:eastAsia="Arial" w:hAnsi="Arial" w:cs="Arial"/>
          <w:color w:val="000000"/>
          <w:sz w:val="20"/>
          <w:szCs w:val="20"/>
          <w:lang w:val="fr-CA"/>
        </w:rPr>
        <w:t xml:space="preserve"> </w:t>
      </w:r>
      <w:r w:rsidRPr="005D34C4">
        <w:rPr>
          <w:rFonts w:ascii="Arial" w:eastAsia="Arial" w:hAnsi="Arial" w:cs="Arial"/>
          <w:color w:val="000000"/>
          <w:sz w:val="20"/>
          <w:szCs w:val="20"/>
          <w:lang w:val="fr-CA"/>
        </w:rPr>
        <w:t>à la vie, à la dignité, à la propriété et à l’information</w:t>
      </w:r>
      <w:r>
        <w:rPr>
          <w:rFonts w:ascii="Arial" w:eastAsia="Arial" w:hAnsi="Arial" w:cs="Arial"/>
          <w:color w:val="000000"/>
          <w:sz w:val="20"/>
          <w:szCs w:val="20"/>
          <w:lang w:val="fr-CA"/>
        </w:rPr>
        <w:t xml:space="preserve">. </w:t>
      </w:r>
      <w:r w:rsidR="00A338C4">
        <w:rPr>
          <w:rFonts w:ascii="Arial" w:eastAsia="Arial" w:hAnsi="Arial" w:cs="Arial"/>
          <w:color w:val="000000"/>
          <w:sz w:val="20"/>
          <w:szCs w:val="20"/>
          <w:lang w:val="fr-CA"/>
        </w:rPr>
        <w:t>Parmi les réparations qu’elle ordonne, la Cour institue</w:t>
      </w:r>
      <w:r w:rsidRPr="005D34C4">
        <w:rPr>
          <w:rFonts w:ascii="Arial" w:eastAsia="Arial" w:hAnsi="Arial" w:cs="Arial"/>
          <w:color w:val="000000"/>
          <w:sz w:val="20"/>
          <w:szCs w:val="20"/>
          <w:lang w:val="fr-CA"/>
        </w:rPr>
        <w:t xml:space="preserve"> une Commission sur le</w:t>
      </w:r>
      <w:r>
        <w:rPr>
          <w:rFonts w:ascii="Arial" w:eastAsia="Arial" w:hAnsi="Arial" w:cs="Arial"/>
          <w:color w:val="000000"/>
          <w:sz w:val="20"/>
          <w:szCs w:val="20"/>
          <w:lang w:val="fr-CA"/>
        </w:rPr>
        <w:t xml:space="preserve"> </w:t>
      </w:r>
      <w:r w:rsidRPr="005D34C4">
        <w:rPr>
          <w:rFonts w:ascii="Arial" w:eastAsia="Arial" w:hAnsi="Arial" w:cs="Arial"/>
          <w:color w:val="000000"/>
          <w:sz w:val="20"/>
          <w:szCs w:val="20"/>
          <w:lang w:val="fr-CA"/>
        </w:rPr>
        <w:t xml:space="preserve">changement climatique </w:t>
      </w:r>
      <w:r w:rsidR="00375795">
        <w:rPr>
          <w:rFonts w:ascii="Arial" w:eastAsia="Arial" w:hAnsi="Arial" w:cs="Arial"/>
          <w:color w:val="000000"/>
          <w:sz w:val="20"/>
          <w:szCs w:val="20"/>
          <w:lang w:val="fr-CA"/>
        </w:rPr>
        <w:t>et</w:t>
      </w:r>
      <w:r w:rsidRPr="005D34C4">
        <w:rPr>
          <w:rFonts w:ascii="Arial" w:eastAsia="Arial" w:hAnsi="Arial" w:cs="Arial"/>
          <w:color w:val="000000"/>
          <w:sz w:val="20"/>
          <w:szCs w:val="20"/>
          <w:lang w:val="fr-CA"/>
        </w:rPr>
        <w:t xml:space="preserve"> impose </w:t>
      </w:r>
      <w:r w:rsidR="00375795">
        <w:rPr>
          <w:rFonts w:ascii="Arial" w:eastAsia="Arial" w:hAnsi="Arial" w:cs="Arial"/>
          <w:color w:val="000000"/>
          <w:sz w:val="20"/>
          <w:szCs w:val="20"/>
          <w:lang w:val="fr-CA"/>
        </w:rPr>
        <w:t>au gouvernement</w:t>
      </w:r>
      <w:r w:rsidRPr="005D34C4">
        <w:rPr>
          <w:rFonts w:ascii="Arial" w:eastAsia="Arial" w:hAnsi="Arial" w:cs="Arial"/>
          <w:color w:val="000000"/>
          <w:sz w:val="20"/>
          <w:szCs w:val="20"/>
          <w:lang w:val="fr-CA"/>
        </w:rPr>
        <w:t xml:space="preserve"> de présenter une liste des actions qui</w:t>
      </w:r>
      <w:r w:rsidR="00375795">
        <w:rPr>
          <w:rFonts w:ascii="Arial" w:eastAsia="Arial" w:hAnsi="Arial" w:cs="Arial"/>
          <w:color w:val="000000"/>
          <w:sz w:val="20"/>
          <w:szCs w:val="20"/>
          <w:lang w:val="fr-CA"/>
        </w:rPr>
        <w:t xml:space="preserve"> </w:t>
      </w:r>
      <w:r w:rsidRPr="005D34C4">
        <w:rPr>
          <w:rFonts w:ascii="Arial" w:eastAsia="Arial" w:hAnsi="Arial" w:cs="Arial"/>
          <w:color w:val="000000"/>
          <w:sz w:val="20"/>
          <w:szCs w:val="20"/>
          <w:lang w:val="fr-CA"/>
        </w:rPr>
        <w:t>peuvent être réalisées dans les mois qui suivent.</w:t>
      </w:r>
      <w:r w:rsidR="00A338C4">
        <w:rPr>
          <w:rStyle w:val="Appelnotedebasdep"/>
          <w:rFonts w:ascii="Arial" w:eastAsia="Arial" w:hAnsi="Arial" w:cs="Arial"/>
          <w:color w:val="000000"/>
          <w:sz w:val="20"/>
          <w:szCs w:val="20"/>
          <w:lang w:val="fr-CA"/>
        </w:rPr>
        <w:footnoteReference w:id="7"/>
      </w:r>
      <w:r w:rsidRPr="005D34C4">
        <w:rPr>
          <w:rFonts w:ascii="Arial" w:eastAsia="Arial" w:hAnsi="Arial" w:cs="Arial"/>
          <w:color w:val="000000"/>
          <w:sz w:val="20"/>
          <w:szCs w:val="20"/>
          <w:lang w:val="fr-CA"/>
        </w:rPr>
        <w:t xml:space="preserve"> </w:t>
      </w:r>
    </w:p>
    <w:p w14:paraId="2F3D3DE4" w14:textId="77777777" w:rsidR="001052B0" w:rsidRPr="007C6868" w:rsidRDefault="001052B0" w:rsidP="005B2EBD">
      <w:pPr>
        <w:spacing w:line="276" w:lineRule="auto"/>
        <w:jc w:val="both"/>
        <w:rPr>
          <w:rFonts w:ascii="Arial" w:hAnsi="Arial" w:cs="Arial"/>
          <w:sz w:val="20"/>
          <w:szCs w:val="20"/>
        </w:rPr>
      </w:pPr>
    </w:p>
    <w:p w14:paraId="0FC00204" w14:textId="77777777" w:rsidR="001052B0" w:rsidRPr="00A151A9" w:rsidRDefault="001052B0" w:rsidP="005B2EBD">
      <w:pPr>
        <w:pStyle w:val="Titre1"/>
        <w:spacing w:line="276" w:lineRule="auto"/>
        <w:jc w:val="both"/>
        <w:rPr>
          <w:rFonts w:ascii="Arial" w:eastAsia="Arial" w:hAnsi="Arial" w:cs="Arial"/>
          <w:color w:val="000000"/>
          <w:sz w:val="20"/>
          <w:szCs w:val="20"/>
        </w:rPr>
      </w:pPr>
      <w:r>
        <w:rPr>
          <w:rFonts w:ascii="Arial" w:eastAsia="Arial" w:hAnsi="Arial" w:cs="Arial"/>
          <w:color w:val="000000"/>
          <w:sz w:val="20"/>
          <w:szCs w:val="20"/>
        </w:rPr>
        <w:t>RESSOURCES UTILES</w:t>
      </w:r>
    </w:p>
    <w:p w14:paraId="6C14BCCD" w14:textId="77777777" w:rsidR="001052B0" w:rsidRPr="00A151A9" w:rsidRDefault="001052B0" w:rsidP="005B2EBD">
      <w:pPr>
        <w:pStyle w:val="Normal1"/>
        <w:contextualSpacing w:val="0"/>
        <w:jc w:val="both"/>
        <w:rPr>
          <w:sz w:val="20"/>
          <w:szCs w:val="20"/>
        </w:rPr>
      </w:pPr>
    </w:p>
    <w:p w14:paraId="17ADB128" w14:textId="77777777" w:rsidR="007C6868" w:rsidRPr="007C6868" w:rsidRDefault="007C6868" w:rsidP="005B2EBD">
      <w:pPr>
        <w:pStyle w:val="Normal1"/>
        <w:numPr>
          <w:ilvl w:val="0"/>
          <w:numId w:val="38"/>
        </w:numPr>
        <w:jc w:val="both"/>
        <w:rPr>
          <w:sz w:val="20"/>
          <w:szCs w:val="20"/>
          <w:lang w:val="fr-CA"/>
        </w:rPr>
      </w:pPr>
      <w:r w:rsidRPr="007C6868">
        <w:rPr>
          <w:sz w:val="20"/>
          <w:szCs w:val="20"/>
          <w:lang w:val="fr-CA"/>
        </w:rPr>
        <w:t>Le</w:t>
      </w:r>
      <w:r w:rsidR="001052B0" w:rsidRPr="007C6868">
        <w:rPr>
          <w:sz w:val="20"/>
          <w:szCs w:val="20"/>
          <w:lang w:val="fr-CA"/>
        </w:rPr>
        <w:t xml:space="preserve"> </w:t>
      </w:r>
      <w:r w:rsidR="001052B0" w:rsidRPr="007C6868">
        <w:rPr>
          <w:b/>
          <w:sz w:val="20"/>
          <w:szCs w:val="20"/>
          <w:lang w:val="fr-CA"/>
        </w:rPr>
        <w:t xml:space="preserve">Sabin Center at Columbia Law </w:t>
      </w:r>
      <w:proofErr w:type="spellStart"/>
      <w:r w:rsidR="001052B0" w:rsidRPr="007C6868">
        <w:rPr>
          <w:b/>
          <w:sz w:val="20"/>
          <w:szCs w:val="20"/>
          <w:lang w:val="fr-CA"/>
        </w:rPr>
        <w:t>School</w:t>
      </w:r>
      <w:proofErr w:type="spellEnd"/>
      <w:r w:rsidR="001052B0" w:rsidRPr="007C6868">
        <w:rPr>
          <w:sz w:val="20"/>
          <w:szCs w:val="20"/>
          <w:lang w:val="fr-CA"/>
        </w:rPr>
        <w:t xml:space="preserve"> </w:t>
      </w:r>
      <w:r w:rsidRPr="007C6868">
        <w:rPr>
          <w:sz w:val="20"/>
          <w:szCs w:val="20"/>
          <w:lang w:val="fr-CA"/>
        </w:rPr>
        <w:t xml:space="preserve">suit l’évolution des recours climatiques aux </w:t>
      </w:r>
      <w:proofErr w:type="spellStart"/>
      <w:r w:rsidRPr="007C6868">
        <w:rPr>
          <w:sz w:val="20"/>
          <w:szCs w:val="20"/>
          <w:lang w:val="fr-CA"/>
        </w:rPr>
        <w:t>États-Unies</w:t>
      </w:r>
      <w:proofErr w:type="spellEnd"/>
      <w:r w:rsidRPr="007C6868">
        <w:rPr>
          <w:sz w:val="20"/>
          <w:szCs w:val="20"/>
          <w:lang w:val="fr-CA"/>
        </w:rPr>
        <w:t xml:space="preserve"> et dans le monde : </w:t>
      </w:r>
      <w:hyperlink r:id="rId8">
        <w:r w:rsidR="001052B0" w:rsidRPr="007C6868">
          <w:rPr>
            <w:color w:val="1155CC"/>
            <w:sz w:val="20"/>
            <w:szCs w:val="20"/>
            <w:u w:val="single"/>
            <w:lang w:val="fr-CA"/>
          </w:rPr>
          <w:t>http://climatecasechart.com</w:t>
        </w:r>
      </w:hyperlink>
    </w:p>
    <w:p w14:paraId="64558AA6" w14:textId="7D7203A6" w:rsidR="001052B0" w:rsidRPr="007C6868" w:rsidRDefault="001052B0" w:rsidP="005B2EBD">
      <w:pPr>
        <w:pStyle w:val="Normal1"/>
        <w:numPr>
          <w:ilvl w:val="0"/>
          <w:numId w:val="38"/>
        </w:numPr>
        <w:jc w:val="both"/>
        <w:rPr>
          <w:sz w:val="20"/>
          <w:szCs w:val="20"/>
          <w:lang w:val="fr-CA"/>
        </w:rPr>
      </w:pPr>
      <w:r w:rsidRPr="007C6868">
        <w:rPr>
          <w:b/>
          <w:sz w:val="20"/>
          <w:szCs w:val="20"/>
          <w:lang w:val="fr-CA"/>
        </w:rPr>
        <w:t>Track 0</w:t>
      </w:r>
      <w:r w:rsidRPr="007C6868">
        <w:rPr>
          <w:sz w:val="20"/>
          <w:szCs w:val="20"/>
          <w:lang w:val="fr-CA"/>
        </w:rPr>
        <w:t xml:space="preserve"> </w:t>
      </w:r>
      <w:r w:rsidR="007C6868" w:rsidRPr="007C6868">
        <w:rPr>
          <w:sz w:val="20"/>
          <w:szCs w:val="20"/>
        </w:rPr>
        <w:t xml:space="preserve">est une organisation à but non lucratif qui fait le suivi des engagements des gouvernements en matière de changements climatiques : </w:t>
      </w:r>
      <w:hyperlink r:id="rId9">
        <w:r w:rsidRPr="007C6868">
          <w:rPr>
            <w:color w:val="1155CC"/>
            <w:sz w:val="20"/>
            <w:szCs w:val="20"/>
            <w:u w:val="single"/>
          </w:rPr>
          <w:t>http://track0.org/about/track-0s-mission</w:t>
        </w:r>
      </w:hyperlink>
      <w:r w:rsidRPr="007C6868">
        <w:rPr>
          <w:sz w:val="20"/>
          <w:szCs w:val="20"/>
        </w:rPr>
        <w:t xml:space="preserve"> </w:t>
      </w:r>
    </w:p>
    <w:p w14:paraId="40B4E1FD" w14:textId="77425E60" w:rsidR="001052B0" w:rsidRPr="007C6868" w:rsidRDefault="007C6868" w:rsidP="005B2EBD">
      <w:pPr>
        <w:pStyle w:val="Normal1"/>
        <w:numPr>
          <w:ilvl w:val="0"/>
          <w:numId w:val="38"/>
        </w:numPr>
        <w:jc w:val="both"/>
        <w:rPr>
          <w:sz w:val="20"/>
          <w:szCs w:val="20"/>
          <w:lang w:val="fr-CA"/>
        </w:rPr>
      </w:pPr>
      <w:r w:rsidRPr="007C6868">
        <w:rPr>
          <w:sz w:val="20"/>
          <w:szCs w:val="20"/>
          <w:lang w:val="fr-CA"/>
        </w:rPr>
        <w:t xml:space="preserve">Le </w:t>
      </w:r>
      <w:r w:rsidRPr="007C6868">
        <w:rPr>
          <w:b/>
          <w:sz w:val="20"/>
          <w:szCs w:val="20"/>
          <w:lang w:val="fr-CA"/>
        </w:rPr>
        <w:t xml:space="preserve">Grantham </w:t>
      </w:r>
      <w:proofErr w:type="spellStart"/>
      <w:r w:rsidRPr="007C6868">
        <w:rPr>
          <w:b/>
          <w:sz w:val="20"/>
          <w:szCs w:val="20"/>
          <w:lang w:val="fr-CA"/>
        </w:rPr>
        <w:t>Research</w:t>
      </w:r>
      <w:proofErr w:type="spellEnd"/>
      <w:r w:rsidRPr="007C6868">
        <w:rPr>
          <w:b/>
          <w:sz w:val="20"/>
          <w:szCs w:val="20"/>
          <w:lang w:val="fr-CA"/>
        </w:rPr>
        <w:t xml:space="preserve"> Institute on </w:t>
      </w:r>
      <w:proofErr w:type="spellStart"/>
      <w:r w:rsidRPr="007C6868">
        <w:rPr>
          <w:b/>
          <w:sz w:val="20"/>
          <w:szCs w:val="20"/>
          <w:lang w:val="fr-CA"/>
        </w:rPr>
        <w:t>Climate</w:t>
      </w:r>
      <w:proofErr w:type="spellEnd"/>
      <w:r w:rsidRPr="007C6868">
        <w:rPr>
          <w:b/>
          <w:sz w:val="20"/>
          <w:szCs w:val="20"/>
          <w:lang w:val="fr-CA"/>
        </w:rPr>
        <w:t xml:space="preserve"> Change and the Environment </w:t>
      </w:r>
      <w:r w:rsidRPr="007C6868">
        <w:rPr>
          <w:sz w:val="20"/>
          <w:szCs w:val="20"/>
          <w:lang w:val="fr-CA"/>
        </w:rPr>
        <w:t xml:space="preserve">de la London </w:t>
      </w:r>
      <w:proofErr w:type="spellStart"/>
      <w:r w:rsidRPr="007C6868">
        <w:rPr>
          <w:sz w:val="20"/>
          <w:szCs w:val="20"/>
          <w:lang w:val="fr-CA"/>
        </w:rPr>
        <w:t>School</w:t>
      </w:r>
      <w:proofErr w:type="spellEnd"/>
      <w:r w:rsidRPr="007C6868">
        <w:rPr>
          <w:sz w:val="20"/>
          <w:szCs w:val="20"/>
          <w:lang w:val="fr-CA"/>
        </w:rPr>
        <w:t xml:space="preserve"> of </w:t>
      </w:r>
      <w:proofErr w:type="spellStart"/>
      <w:r w:rsidRPr="007C6868">
        <w:rPr>
          <w:sz w:val="20"/>
          <w:szCs w:val="20"/>
          <w:lang w:val="fr-CA"/>
        </w:rPr>
        <w:t>Economics</w:t>
      </w:r>
      <w:proofErr w:type="spellEnd"/>
      <w:r w:rsidRPr="007C6868">
        <w:rPr>
          <w:sz w:val="20"/>
          <w:szCs w:val="20"/>
          <w:lang w:val="fr-CA"/>
        </w:rPr>
        <w:t xml:space="preserve">’, en collaboration avec le Sabin Center, suit les lois et les recours en matière de changements climatiques dans le monde : </w:t>
      </w:r>
      <w:hyperlink r:id="rId10">
        <w:r w:rsidR="001052B0" w:rsidRPr="007C6868">
          <w:rPr>
            <w:color w:val="1155CC"/>
            <w:sz w:val="20"/>
            <w:szCs w:val="20"/>
            <w:u w:val="single"/>
            <w:lang w:val="fr-CA"/>
          </w:rPr>
          <w:t>http://www.lse.ac.uk/GranthamInstitute/climate-change-laws-of-the-world</w:t>
        </w:r>
      </w:hyperlink>
    </w:p>
    <w:sectPr w:rsidR="001052B0" w:rsidRPr="007C6868" w:rsidSect="00072E60">
      <w:footerReference w:type="default" r:id="rId11"/>
      <w:pgSz w:w="12240" w:h="15840"/>
      <w:pgMar w:top="1440" w:right="1800" w:bottom="1440" w:left="1800" w:header="53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40071" w14:textId="77777777" w:rsidR="00AC64FF" w:rsidRDefault="00AC64FF">
      <w:r>
        <w:separator/>
      </w:r>
    </w:p>
  </w:endnote>
  <w:endnote w:type="continuationSeparator" w:id="0">
    <w:p w14:paraId="6F7FFCDF" w14:textId="77777777" w:rsidR="00AC64FF" w:rsidRDefault="00AC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20B0604020202020204"/>
    <w:charset w:val="00"/>
    <w:family w:val="swiss"/>
    <w:notTrueType/>
    <w:pitch w:val="default"/>
    <w:sig w:usb0="00000003" w:usb1="00000000" w:usb2="00000000" w:usb3="00000000" w:csb0="00000001" w:csb1="00000000"/>
  </w:font>
  <w:font w:name="Frutiger LT Std 47 Light Cn">
    <w:altName w:val="Calibri"/>
    <w:panose1 w:val="020B0604020202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FuturaStd-Heavy">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37FA7" w14:textId="3BC377C4" w:rsidR="00B91115" w:rsidRDefault="00B91115">
    <w:pPr>
      <w:autoSpaceDE w:val="0"/>
      <w:autoSpaceDN w:val="0"/>
      <w:adjustRightInd w:val="0"/>
      <w:rPr>
        <w:rFonts w:ascii="FuturaStd-Heavy" w:hAnsi="FuturaStd-Heavy"/>
        <w:sz w:val="20"/>
        <w:szCs w:val="2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EEEB6" w14:textId="77777777" w:rsidR="00AC64FF" w:rsidRDefault="00AC64FF">
      <w:r>
        <w:separator/>
      </w:r>
    </w:p>
  </w:footnote>
  <w:footnote w:type="continuationSeparator" w:id="0">
    <w:p w14:paraId="0D3BA175" w14:textId="77777777" w:rsidR="00AC64FF" w:rsidRDefault="00AC64FF">
      <w:r>
        <w:continuationSeparator/>
      </w:r>
    </w:p>
  </w:footnote>
  <w:footnote w:id="1">
    <w:p w14:paraId="4791F5E6" w14:textId="18C6CA3A" w:rsidR="00B30AA3" w:rsidRPr="00551D3C" w:rsidRDefault="00B30AA3">
      <w:pPr>
        <w:pStyle w:val="Notedebasdepage"/>
        <w:rPr>
          <w:rFonts w:ascii="Arial" w:hAnsi="Arial" w:cs="Arial"/>
          <w:sz w:val="20"/>
          <w:szCs w:val="20"/>
          <w:lang w:val="en-CA"/>
        </w:rPr>
      </w:pPr>
      <w:r w:rsidRPr="00551D3C">
        <w:rPr>
          <w:rStyle w:val="Appelnotedebasdep"/>
          <w:rFonts w:ascii="Arial" w:hAnsi="Arial" w:cs="Arial"/>
          <w:sz w:val="20"/>
          <w:szCs w:val="20"/>
        </w:rPr>
        <w:footnoteRef/>
      </w:r>
      <w:hyperlink r:id="rId1" w:history="1">
        <w:r w:rsidRPr="00551D3C">
          <w:rPr>
            <w:rStyle w:val="Lienhypertexte"/>
            <w:rFonts w:ascii="Arial" w:hAnsi="Arial" w:cs="Arial"/>
            <w:sz w:val="20"/>
            <w:szCs w:val="20"/>
            <w:lang w:val="en-CA"/>
          </w:rPr>
          <w:t>https://www.canlii.org/fr/ca/cfpi/doc/2020/2020cf1008/2020cf1008.html?autocompleteStr=la%20rose%20c.%20&amp;autocompletePos=5</w:t>
        </w:r>
      </w:hyperlink>
      <w:r w:rsidRPr="00551D3C">
        <w:rPr>
          <w:rFonts w:ascii="Arial" w:hAnsi="Arial" w:cs="Arial"/>
          <w:sz w:val="20"/>
          <w:szCs w:val="20"/>
          <w:lang w:val="en-CA"/>
        </w:rPr>
        <w:t xml:space="preserve"> </w:t>
      </w:r>
    </w:p>
  </w:footnote>
  <w:footnote w:id="2">
    <w:p w14:paraId="0ED81578" w14:textId="2292502B" w:rsidR="00B30AA3" w:rsidRPr="00551D3C" w:rsidRDefault="00B30AA3">
      <w:pPr>
        <w:pStyle w:val="Notedebasdepage"/>
        <w:rPr>
          <w:rFonts w:ascii="Arial" w:hAnsi="Arial" w:cs="Arial"/>
          <w:sz w:val="20"/>
          <w:szCs w:val="20"/>
          <w:lang w:val="en-CA"/>
        </w:rPr>
      </w:pPr>
      <w:r w:rsidRPr="00551D3C">
        <w:rPr>
          <w:rStyle w:val="Appelnotedebasdep"/>
          <w:rFonts w:ascii="Arial" w:hAnsi="Arial" w:cs="Arial"/>
          <w:sz w:val="20"/>
          <w:szCs w:val="20"/>
        </w:rPr>
        <w:footnoteRef/>
      </w:r>
      <w:hyperlink r:id="rId2" w:history="1">
        <w:r w:rsidRPr="00551D3C">
          <w:rPr>
            <w:rStyle w:val="Lienhypertexte"/>
            <w:rFonts w:ascii="Arial" w:hAnsi="Arial" w:cs="Arial"/>
            <w:sz w:val="20"/>
            <w:szCs w:val="20"/>
            <w:lang w:val="en-CA"/>
          </w:rPr>
          <w:t>https://www.canlii.org/en/on/onsc/doc/2020/2020onsc6918/2020onsc6918.html?autocompleteStr=mathur&amp;autocompletePos=3</w:t>
        </w:r>
      </w:hyperlink>
      <w:r w:rsidRPr="00551D3C">
        <w:rPr>
          <w:rFonts w:ascii="Arial" w:hAnsi="Arial" w:cs="Arial"/>
          <w:sz w:val="20"/>
          <w:szCs w:val="20"/>
          <w:lang w:val="en-CA"/>
        </w:rPr>
        <w:t xml:space="preserve"> </w:t>
      </w:r>
    </w:p>
  </w:footnote>
  <w:footnote w:id="3">
    <w:p w14:paraId="5074DA58" w14:textId="64A0A3C1" w:rsidR="00260F70" w:rsidRPr="00551D3C" w:rsidRDefault="00260F70">
      <w:pPr>
        <w:pStyle w:val="Notedebasdepage"/>
        <w:rPr>
          <w:rFonts w:ascii="Arial" w:hAnsi="Arial" w:cs="Arial"/>
          <w:sz w:val="20"/>
          <w:szCs w:val="20"/>
          <w:lang w:val="en-CA"/>
        </w:rPr>
      </w:pPr>
      <w:r w:rsidRPr="00551D3C">
        <w:rPr>
          <w:rStyle w:val="Appelnotedebasdep"/>
          <w:rFonts w:ascii="Arial" w:hAnsi="Arial" w:cs="Arial"/>
          <w:sz w:val="20"/>
          <w:szCs w:val="20"/>
        </w:rPr>
        <w:footnoteRef/>
      </w:r>
      <w:r w:rsidRPr="00551D3C">
        <w:rPr>
          <w:rFonts w:ascii="Arial" w:hAnsi="Arial" w:cs="Arial"/>
          <w:sz w:val="20"/>
          <w:szCs w:val="20"/>
          <w:lang w:val="en-CA"/>
        </w:rPr>
        <w:t xml:space="preserve"> </w:t>
      </w:r>
      <w:hyperlink r:id="rId3" w:history="1">
        <w:r w:rsidR="00551D3C" w:rsidRPr="00551D3C">
          <w:rPr>
            <w:rStyle w:val="Lienhypertexte"/>
            <w:rFonts w:ascii="Arial" w:hAnsi="Arial" w:cs="Arial"/>
            <w:sz w:val="20"/>
            <w:szCs w:val="20"/>
            <w:lang w:val="en-CA"/>
          </w:rPr>
          <w:t>https://www.canlii.org/fr/ca/cfpi/doc/2020/2020cf1059/2020cf1059.html</w:t>
        </w:r>
      </w:hyperlink>
      <w:r w:rsidR="00551D3C" w:rsidRPr="00551D3C">
        <w:rPr>
          <w:rFonts w:ascii="Arial" w:hAnsi="Arial" w:cs="Arial"/>
          <w:sz w:val="20"/>
          <w:szCs w:val="20"/>
          <w:lang w:val="en-CA"/>
        </w:rPr>
        <w:t xml:space="preserve"> </w:t>
      </w:r>
    </w:p>
  </w:footnote>
  <w:footnote w:id="4">
    <w:p w14:paraId="7E44367E" w14:textId="4D7C92BA" w:rsidR="001519CA" w:rsidRPr="00551D3C" w:rsidRDefault="001519CA">
      <w:pPr>
        <w:pStyle w:val="Notedebasdepage"/>
        <w:rPr>
          <w:rFonts w:ascii="Arial" w:hAnsi="Arial" w:cs="Arial"/>
          <w:bCs/>
          <w:sz w:val="20"/>
          <w:szCs w:val="20"/>
          <w:lang w:val="en-CA"/>
        </w:rPr>
      </w:pPr>
      <w:r w:rsidRPr="00551D3C">
        <w:rPr>
          <w:rStyle w:val="Appelnotedebasdep"/>
          <w:rFonts w:ascii="Arial" w:hAnsi="Arial" w:cs="Arial"/>
          <w:bCs/>
          <w:sz w:val="20"/>
          <w:szCs w:val="20"/>
        </w:rPr>
        <w:footnoteRef/>
      </w:r>
      <w:r w:rsidRPr="00551D3C">
        <w:rPr>
          <w:rFonts w:ascii="Arial" w:hAnsi="Arial" w:cs="Arial"/>
          <w:bCs/>
          <w:sz w:val="20"/>
          <w:szCs w:val="20"/>
          <w:lang w:val="en-CA"/>
        </w:rPr>
        <w:t xml:space="preserve"> </w:t>
      </w:r>
      <w:hyperlink r:id="rId4" w:history="1">
        <w:r w:rsidRPr="00551D3C">
          <w:rPr>
            <w:rStyle w:val="Lienhypertexte"/>
            <w:rFonts w:ascii="Arial" w:hAnsi="Arial" w:cs="Arial"/>
            <w:bCs/>
            <w:sz w:val="20"/>
            <w:szCs w:val="20"/>
            <w:lang w:val="en-CA"/>
          </w:rPr>
          <w:t>https://uitspraken.rechtspraak.nl/inziendocument?id=ECLI:NL:HR:2019:2007</w:t>
        </w:r>
      </w:hyperlink>
      <w:r w:rsidRPr="00551D3C">
        <w:rPr>
          <w:rFonts w:ascii="Arial" w:hAnsi="Arial" w:cs="Arial"/>
          <w:bCs/>
          <w:sz w:val="20"/>
          <w:szCs w:val="20"/>
          <w:lang w:val="en-CA"/>
        </w:rPr>
        <w:t xml:space="preserve"> </w:t>
      </w:r>
    </w:p>
  </w:footnote>
  <w:footnote w:id="5">
    <w:p w14:paraId="0C2741E0" w14:textId="69E57D5D" w:rsidR="00FA590F" w:rsidRPr="00551D3C" w:rsidRDefault="00FA590F">
      <w:pPr>
        <w:pStyle w:val="Notedebasdepage"/>
        <w:rPr>
          <w:rFonts w:ascii="Arial" w:hAnsi="Arial" w:cs="Arial"/>
          <w:bCs/>
          <w:sz w:val="20"/>
          <w:szCs w:val="20"/>
          <w:lang w:val="en-CA"/>
        </w:rPr>
      </w:pPr>
      <w:r w:rsidRPr="00551D3C">
        <w:rPr>
          <w:rStyle w:val="Appelnotedebasdep"/>
          <w:rFonts w:ascii="Arial" w:hAnsi="Arial" w:cs="Arial"/>
          <w:bCs/>
          <w:sz w:val="20"/>
          <w:szCs w:val="20"/>
        </w:rPr>
        <w:footnoteRef/>
      </w:r>
      <w:r w:rsidRPr="00551D3C">
        <w:rPr>
          <w:rFonts w:ascii="Arial" w:hAnsi="Arial" w:cs="Arial"/>
          <w:bCs/>
          <w:sz w:val="20"/>
          <w:szCs w:val="20"/>
          <w:lang w:val="en-CA"/>
        </w:rPr>
        <w:t xml:space="preserve"> </w:t>
      </w:r>
      <w:hyperlink r:id="rId5" w:history="1">
        <w:r w:rsidRPr="00551D3C">
          <w:rPr>
            <w:rStyle w:val="Lienhypertexte"/>
            <w:rFonts w:ascii="Arial" w:hAnsi="Arial" w:cs="Arial"/>
            <w:bCs/>
            <w:sz w:val="20"/>
            <w:szCs w:val="20"/>
            <w:lang w:val="en-CA"/>
          </w:rPr>
          <w:t>http://climatecasechart.com/climate-change-litigation/wp-content/uploads/sites/16/non-us-case-documents/2021/20210429_11817_judgment-2.pdf</w:t>
        </w:r>
      </w:hyperlink>
      <w:r w:rsidRPr="00551D3C">
        <w:rPr>
          <w:rFonts w:ascii="Arial" w:hAnsi="Arial" w:cs="Arial"/>
          <w:bCs/>
          <w:sz w:val="20"/>
          <w:szCs w:val="20"/>
          <w:lang w:val="en-CA"/>
        </w:rPr>
        <w:t xml:space="preserve"> </w:t>
      </w:r>
    </w:p>
  </w:footnote>
  <w:footnote w:id="6">
    <w:p w14:paraId="7A1EF512" w14:textId="4EBF630F" w:rsidR="009D022E" w:rsidRPr="00551D3C" w:rsidRDefault="009D022E">
      <w:pPr>
        <w:pStyle w:val="Notedebasdepage"/>
        <w:rPr>
          <w:rFonts w:ascii="Arial" w:hAnsi="Arial" w:cs="Arial"/>
          <w:bCs/>
          <w:sz w:val="20"/>
          <w:szCs w:val="20"/>
          <w:lang w:val="en-CA"/>
        </w:rPr>
      </w:pPr>
      <w:r w:rsidRPr="00551D3C">
        <w:rPr>
          <w:rStyle w:val="Appelnotedebasdep"/>
          <w:rFonts w:ascii="Arial" w:hAnsi="Arial" w:cs="Arial"/>
          <w:bCs/>
          <w:sz w:val="20"/>
          <w:szCs w:val="20"/>
        </w:rPr>
        <w:footnoteRef/>
      </w:r>
      <w:r w:rsidRPr="00551D3C">
        <w:rPr>
          <w:rFonts w:ascii="Arial" w:hAnsi="Arial" w:cs="Arial"/>
          <w:bCs/>
          <w:sz w:val="20"/>
          <w:szCs w:val="20"/>
          <w:lang w:val="en-CA"/>
        </w:rPr>
        <w:t xml:space="preserve"> </w:t>
      </w:r>
      <w:hyperlink r:id="rId6" w:history="1">
        <w:r w:rsidRPr="00551D3C">
          <w:rPr>
            <w:rStyle w:val="Lienhypertexte"/>
            <w:rFonts w:ascii="Arial" w:hAnsi="Arial" w:cs="Arial"/>
            <w:bCs/>
            <w:sz w:val="20"/>
            <w:szCs w:val="20"/>
            <w:lang w:val="en-CA"/>
          </w:rPr>
          <w:t>http://paris.tribunal-administratif.fr/content/download/179360/1759761/version/1/file/1904967190496819049721904976.pdf</w:t>
        </w:r>
      </w:hyperlink>
      <w:r w:rsidRPr="00551D3C">
        <w:rPr>
          <w:rFonts w:ascii="Arial" w:hAnsi="Arial" w:cs="Arial"/>
          <w:bCs/>
          <w:sz w:val="20"/>
          <w:szCs w:val="20"/>
          <w:lang w:val="en-CA"/>
        </w:rPr>
        <w:t xml:space="preserve"> </w:t>
      </w:r>
    </w:p>
  </w:footnote>
  <w:footnote w:id="7">
    <w:p w14:paraId="3F843C99" w14:textId="1401EB9D" w:rsidR="00A338C4" w:rsidRPr="00551D3C" w:rsidRDefault="00A338C4">
      <w:pPr>
        <w:pStyle w:val="Notedebasdepage"/>
        <w:rPr>
          <w:rFonts w:ascii="Arial" w:hAnsi="Arial" w:cs="Arial"/>
          <w:sz w:val="20"/>
          <w:szCs w:val="20"/>
          <w:lang w:val="en-CA"/>
        </w:rPr>
      </w:pPr>
      <w:r w:rsidRPr="00551D3C">
        <w:rPr>
          <w:rStyle w:val="Appelnotedebasdep"/>
          <w:rFonts w:ascii="Arial" w:hAnsi="Arial" w:cs="Arial"/>
          <w:sz w:val="20"/>
          <w:szCs w:val="20"/>
        </w:rPr>
        <w:footnoteRef/>
      </w:r>
      <w:r w:rsidRPr="00551D3C">
        <w:rPr>
          <w:rFonts w:ascii="Arial" w:hAnsi="Arial" w:cs="Arial"/>
          <w:sz w:val="20"/>
          <w:szCs w:val="20"/>
          <w:lang w:val="en-CA"/>
        </w:rPr>
        <w:t xml:space="preserve"> </w:t>
      </w:r>
      <w:hyperlink r:id="rId7" w:history="1">
        <w:r w:rsidRPr="00551D3C">
          <w:rPr>
            <w:rStyle w:val="Lienhypertexte"/>
            <w:rFonts w:ascii="Arial" w:hAnsi="Arial" w:cs="Arial"/>
            <w:sz w:val="20"/>
            <w:szCs w:val="20"/>
            <w:lang w:val="en-CA"/>
          </w:rPr>
          <w:t>http://climatecasechart.com/climate-change-litigation/wp-content/uploads/sites/16/non-us-case-documents/2015/20150404_2015-W.P.-No.-25501201_decision.pdf</w:t>
        </w:r>
      </w:hyperlink>
      <w:r w:rsidRPr="00551D3C">
        <w:rPr>
          <w:rFonts w:ascii="Arial" w:hAnsi="Arial" w:cs="Arial"/>
          <w:sz w:val="20"/>
          <w:szCs w:val="20"/>
          <w:lang w:val="en-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44BF"/>
    <w:multiLevelType w:val="hybridMultilevel"/>
    <w:tmpl w:val="2578B26E"/>
    <w:lvl w:ilvl="0" w:tplc="398405A8">
      <w:start w:val="1"/>
      <w:numFmt w:val="bullet"/>
      <w:lvlText w:val=""/>
      <w:lvlJc w:val="left"/>
      <w:pPr>
        <w:ind w:left="1287" w:hanging="360"/>
      </w:pPr>
      <w:rPr>
        <w:rFonts w:ascii="Symbol" w:hAnsi="Symbol" w:hint="default"/>
        <w:color w:val="auto"/>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 w15:restartNumberingAfterBreak="0">
    <w:nsid w:val="0EB55B38"/>
    <w:multiLevelType w:val="hybridMultilevel"/>
    <w:tmpl w:val="7048E85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13D57ADB"/>
    <w:multiLevelType w:val="multilevel"/>
    <w:tmpl w:val="0544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B3683"/>
    <w:multiLevelType w:val="hybridMultilevel"/>
    <w:tmpl w:val="1B90B616"/>
    <w:lvl w:ilvl="0" w:tplc="E0084B60">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DE2167B"/>
    <w:multiLevelType w:val="hybridMultilevel"/>
    <w:tmpl w:val="5D9A44F4"/>
    <w:lvl w:ilvl="0" w:tplc="398405A8">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DF31B03"/>
    <w:multiLevelType w:val="multilevel"/>
    <w:tmpl w:val="F596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38139E"/>
    <w:multiLevelType w:val="multilevel"/>
    <w:tmpl w:val="982C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327160"/>
    <w:multiLevelType w:val="hybridMultilevel"/>
    <w:tmpl w:val="6C28D6A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09942F7"/>
    <w:multiLevelType w:val="hybridMultilevel"/>
    <w:tmpl w:val="8522EFE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15:restartNumberingAfterBreak="0">
    <w:nsid w:val="216C5BCE"/>
    <w:multiLevelType w:val="hybridMultilevel"/>
    <w:tmpl w:val="F8DCBE1C"/>
    <w:lvl w:ilvl="0" w:tplc="F8101EE0">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1CA01FA"/>
    <w:multiLevelType w:val="hybridMultilevel"/>
    <w:tmpl w:val="8772B316"/>
    <w:lvl w:ilvl="0" w:tplc="7C3C6D46">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C7A0BE1"/>
    <w:multiLevelType w:val="hybridMultilevel"/>
    <w:tmpl w:val="E23A84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2103BA3"/>
    <w:multiLevelType w:val="hybridMultilevel"/>
    <w:tmpl w:val="A46C5590"/>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15:restartNumberingAfterBreak="0">
    <w:nsid w:val="37322F6A"/>
    <w:multiLevelType w:val="hybridMultilevel"/>
    <w:tmpl w:val="43707B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B8358AC"/>
    <w:multiLevelType w:val="hybridMultilevel"/>
    <w:tmpl w:val="066EF67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C3E6879"/>
    <w:multiLevelType w:val="hybridMultilevel"/>
    <w:tmpl w:val="8EA012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866E57"/>
    <w:multiLevelType w:val="hybridMultilevel"/>
    <w:tmpl w:val="B74C533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13D72C0"/>
    <w:multiLevelType w:val="hybridMultilevel"/>
    <w:tmpl w:val="F1E8D76C"/>
    <w:lvl w:ilvl="0" w:tplc="398405A8">
      <w:start w:val="1"/>
      <w:numFmt w:val="bullet"/>
      <w:lvlText w:val=""/>
      <w:lvlJc w:val="left"/>
      <w:pPr>
        <w:ind w:left="1146" w:hanging="360"/>
      </w:pPr>
      <w:rPr>
        <w:rFonts w:ascii="Symbol" w:hAnsi="Symbol" w:hint="default"/>
        <w:color w:val="auto"/>
      </w:r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18" w15:restartNumberingAfterBreak="0">
    <w:nsid w:val="435B2C68"/>
    <w:multiLevelType w:val="hybridMultilevel"/>
    <w:tmpl w:val="9A8441F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603210A"/>
    <w:multiLevelType w:val="hybridMultilevel"/>
    <w:tmpl w:val="5224AE58"/>
    <w:lvl w:ilvl="0" w:tplc="B2E6B966">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6B84CD7"/>
    <w:multiLevelType w:val="hybridMultilevel"/>
    <w:tmpl w:val="1B7CE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78556C"/>
    <w:multiLevelType w:val="hybridMultilevel"/>
    <w:tmpl w:val="8A5A082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9BF63DE"/>
    <w:multiLevelType w:val="hybridMultilevel"/>
    <w:tmpl w:val="1BD629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0944CD"/>
    <w:multiLevelType w:val="hybridMultilevel"/>
    <w:tmpl w:val="7B2CB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FF124CF"/>
    <w:multiLevelType w:val="hybridMultilevel"/>
    <w:tmpl w:val="993074AE"/>
    <w:lvl w:ilvl="0" w:tplc="0C0C0011">
      <w:start w:val="1"/>
      <w:numFmt w:val="decimal"/>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25" w15:restartNumberingAfterBreak="0">
    <w:nsid w:val="501B4FD0"/>
    <w:multiLevelType w:val="hybridMultilevel"/>
    <w:tmpl w:val="3764741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6" w15:restartNumberingAfterBreak="0">
    <w:nsid w:val="50D54015"/>
    <w:multiLevelType w:val="multilevel"/>
    <w:tmpl w:val="59E2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9E6E89"/>
    <w:multiLevelType w:val="hybridMultilevel"/>
    <w:tmpl w:val="7C4E51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84B7C03"/>
    <w:multiLevelType w:val="hybridMultilevel"/>
    <w:tmpl w:val="A40CD86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9" w15:restartNumberingAfterBreak="0">
    <w:nsid w:val="5ABF21EC"/>
    <w:multiLevelType w:val="hybridMultilevel"/>
    <w:tmpl w:val="07B88F8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B627C1F"/>
    <w:multiLevelType w:val="hybridMultilevel"/>
    <w:tmpl w:val="0ABAF9E6"/>
    <w:lvl w:ilvl="0" w:tplc="690C650E">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0B82E32"/>
    <w:multiLevelType w:val="hybridMultilevel"/>
    <w:tmpl w:val="D4DEC27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2B61B21"/>
    <w:multiLevelType w:val="hybridMultilevel"/>
    <w:tmpl w:val="FFAC1E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3270CD9"/>
    <w:multiLevelType w:val="hybridMultilevel"/>
    <w:tmpl w:val="4B383C2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A562E3D"/>
    <w:multiLevelType w:val="hybridMultilevel"/>
    <w:tmpl w:val="43C2DE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582D4E"/>
    <w:multiLevelType w:val="hybridMultilevel"/>
    <w:tmpl w:val="72686A2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6" w15:restartNumberingAfterBreak="0">
    <w:nsid w:val="7735765D"/>
    <w:multiLevelType w:val="hybridMultilevel"/>
    <w:tmpl w:val="7C2E5B20"/>
    <w:lvl w:ilvl="0" w:tplc="7EFC30FC">
      <w:numFmt w:val="bullet"/>
      <w:lvlText w:val="-"/>
      <w:lvlJc w:val="left"/>
      <w:pPr>
        <w:ind w:left="720" w:hanging="360"/>
      </w:pPr>
      <w:rPr>
        <w:rFonts w:ascii="Helvetica-Light" w:eastAsiaTheme="minorHAnsi" w:hAnsi="Helvetica-Light" w:cs="Helvetica-Light"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7" w15:restartNumberingAfterBreak="0">
    <w:nsid w:val="7F791FFF"/>
    <w:multiLevelType w:val="multilevel"/>
    <w:tmpl w:val="56AC8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3"/>
  </w:num>
  <w:num w:numId="5">
    <w:abstractNumId w:val="28"/>
  </w:num>
  <w:num w:numId="6">
    <w:abstractNumId w:val="25"/>
  </w:num>
  <w:num w:numId="7">
    <w:abstractNumId w:val="8"/>
  </w:num>
  <w:num w:numId="8">
    <w:abstractNumId w:val="1"/>
  </w:num>
  <w:num w:numId="9">
    <w:abstractNumId w:val="35"/>
  </w:num>
  <w:num w:numId="10">
    <w:abstractNumId w:val="24"/>
  </w:num>
  <w:num w:numId="11">
    <w:abstractNumId w:val="17"/>
  </w:num>
  <w:num w:numId="12">
    <w:abstractNumId w:val="4"/>
  </w:num>
  <w:num w:numId="13">
    <w:abstractNumId w:val="10"/>
  </w:num>
  <w:num w:numId="14">
    <w:abstractNumId w:val="32"/>
  </w:num>
  <w:num w:numId="15">
    <w:abstractNumId w:val="30"/>
  </w:num>
  <w:num w:numId="16">
    <w:abstractNumId w:val="11"/>
  </w:num>
  <w:num w:numId="17">
    <w:abstractNumId w:val="21"/>
  </w:num>
  <w:num w:numId="18">
    <w:abstractNumId w:val="31"/>
  </w:num>
  <w:num w:numId="19">
    <w:abstractNumId w:val="16"/>
  </w:num>
  <w:num w:numId="20">
    <w:abstractNumId w:val="33"/>
  </w:num>
  <w:num w:numId="21">
    <w:abstractNumId w:val="18"/>
  </w:num>
  <w:num w:numId="22">
    <w:abstractNumId w:val="12"/>
  </w:num>
  <w:num w:numId="23">
    <w:abstractNumId w:val="7"/>
  </w:num>
  <w:num w:numId="24">
    <w:abstractNumId w:val="14"/>
  </w:num>
  <w:num w:numId="25">
    <w:abstractNumId w:val="9"/>
  </w:num>
  <w:num w:numId="26">
    <w:abstractNumId w:val="29"/>
  </w:num>
  <w:num w:numId="27">
    <w:abstractNumId w:val="20"/>
  </w:num>
  <w:num w:numId="28">
    <w:abstractNumId w:val="2"/>
  </w:num>
  <w:num w:numId="29">
    <w:abstractNumId w:val="26"/>
  </w:num>
  <w:num w:numId="30">
    <w:abstractNumId w:val="34"/>
  </w:num>
  <w:num w:numId="31">
    <w:abstractNumId w:val="23"/>
  </w:num>
  <w:num w:numId="32">
    <w:abstractNumId w:val="22"/>
  </w:num>
  <w:num w:numId="33">
    <w:abstractNumId w:val="0"/>
  </w:num>
  <w:num w:numId="34">
    <w:abstractNumId w:val="27"/>
  </w:num>
  <w:num w:numId="35">
    <w:abstractNumId w:val="6"/>
  </w:num>
  <w:num w:numId="36">
    <w:abstractNumId w:val="15"/>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78C"/>
    <w:rsid w:val="00003548"/>
    <w:rsid w:val="00005C28"/>
    <w:rsid w:val="00014886"/>
    <w:rsid w:val="000156F2"/>
    <w:rsid w:val="00020ACB"/>
    <w:rsid w:val="00021C00"/>
    <w:rsid w:val="00031D28"/>
    <w:rsid w:val="000359F1"/>
    <w:rsid w:val="00046331"/>
    <w:rsid w:val="00047CC8"/>
    <w:rsid w:val="00051BB5"/>
    <w:rsid w:val="00054B53"/>
    <w:rsid w:val="00065A8B"/>
    <w:rsid w:val="00072E60"/>
    <w:rsid w:val="00073A0E"/>
    <w:rsid w:val="0009217D"/>
    <w:rsid w:val="000C0D82"/>
    <w:rsid w:val="000D0694"/>
    <w:rsid w:val="000D07D1"/>
    <w:rsid w:val="000D3FD0"/>
    <w:rsid w:val="00104626"/>
    <w:rsid w:val="001052B0"/>
    <w:rsid w:val="00111F61"/>
    <w:rsid w:val="00112AFE"/>
    <w:rsid w:val="00113CD8"/>
    <w:rsid w:val="00124213"/>
    <w:rsid w:val="0013739E"/>
    <w:rsid w:val="00146D0D"/>
    <w:rsid w:val="00150351"/>
    <w:rsid w:val="001519CA"/>
    <w:rsid w:val="00155A69"/>
    <w:rsid w:val="001618D2"/>
    <w:rsid w:val="00162FF0"/>
    <w:rsid w:val="00164A2B"/>
    <w:rsid w:val="001A118D"/>
    <w:rsid w:val="001A66D0"/>
    <w:rsid w:val="001C2C5A"/>
    <w:rsid w:val="001D4A6A"/>
    <w:rsid w:val="001E6648"/>
    <w:rsid w:val="001E6C2E"/>
    <w:rsid w:val="002171EF"/>
    <w:rsid w:val="00227729"/>
    <w:rsid w:val="00260F70"/>
    <w:rsid w:val="00264052"/>
    <w:rsid w:val="002672D9"/>
    <w:rsid w:val="0027561D"/>
    <w:rsid w:val="00277261"/>
    <w:rsid w:val="002B2BD3"/>
    <w:rsid w:val="002D2F6B"/>
    <w:rsid w:val="00316FF1"/>
    <w:rsid w:val="0031711E"/>
    <w:rsid w:val="0033403A"/>
    <w:rsid w:val="00362E88"/>
    <w:rsid w:val="00375795"/>
    <w:rsid w:val="003A7CE9"/>
    <w:rsid w:val="003D2E24"/>
    <w:rsid w:val="003E3F86"/>
    <w:rsid w:val="003F2D7E"/>
    <w:rsid w:val="00406484"/>
    <w:rsid w:val="0041615E"/>
    <w:rsid w:val="00424A8B"/>
    <w:rsid w:val="00425256"/>
    <w:rsid w:val="0042531F"/>
    <w:rsid w:val="00440582"/>
    <w:rsid w:val="0044294E"/>
    <w:rsid w:val="00453F28"/>
    <w:rsid w:val="00462BC4"/>
    <w:rsid w:val="0046608D"/>
    <w:rsid w:val="00470EA8"/>
    <w:rsid w:val="00490BF8"/>
    <w:rsid w:val="004A292D"/>
    <w:rsid w:val="004A337D"/>
    <w:rsid w:val="004A7145"/>
    <w:rsid w:val="004C06D7"/>
    <w:rsid w:val="004C3695"/>
    <w:rsid w:val="004E612F"/>
    <w:rsid w:val="004F0FD6"/>
    <w:rsid w:val="00506EC1"/>
    <w:rsid w:val="00521A96"/>
    <w:rsid w:val="005269A6"/>
    <w:rsid w:val="005305A2"/>
    <w:rsid w:val="00533724"/>
    <w:rsid w:val="0054074E"/>
    <w:rsid w:val="005429F4"/>
    <w:rsid w:val="00551D3C"/>
    <w:rsid w:val="0055206F"/>
    <w:rsid w:val="00552107"/>
    <w:rsid w:val="00563328"/>
    <w:rsid w:val="00577E4E"/>
    <w:rsid w:val="00581D57"/>
    <w:rsid w:val="00587836"/>
    <w:rsid w:val="005B2EBD"/>
    <w:rsid w:val="005D280A"/>
    <w:rsid w:val="005D34C4"/>
    <w:rsid w:val="005D5596"/>
    <w:rsid w:val="00615017"/>
    <w:rsid w:val="00621F86"/>
    <w:rsid w:val="00630233"/>
    <w:rsid w:val="006368A1"/>
    <w:rsid w:val="00650D75"/>
    <w:rsid w:val="006615FD"/>
    <w:rsid w:val="006641EE"/>
    <w:rsid w:val="00665829"/>
    <w:rsid w:val="00670874"/>
    <w:rsid w:val="00675427"/>
    <w:rsid w:val="006857CF"/>
    <w:rsid w:val="00687B25"/>
    <w:rsid w:val="0069641A"/>
    <w:rsid w:val="006A5121"/>
    <w:rsid w:val="006B1925"/>
    <w:rsid w:val="006B1CF1"/>
    <w:rsid w:val="006C1C77"/>
    <w:rsid w:val="006E3B1A"/>
    <w:rsid w:val="0070203F"/>
    <w:rsid w:val="00705D67"/>
    <w:rsid w:val="00707635"/>
    <w:rsid w:val="00717788"/>
    <w:rsid w:val="00730914"/>
    <w:rsid w:val="00730B20"/>
    <w:rsid w:val="00734555"/>
    <w:rsid w:val="00742E47"/>
    <w:rsid w:val="00754B05"/>
    <w:rsid w:val="00755D00"/>
    <w:rsid w:val="00757951"/>
    <w:rsid w:val="00760825"/>
    <w:rsid w:val="007657C7"/>
    <w:rsid w:val="00791D58"/>
    <w:rsid w:val="00792F19"/>
    <w:rsid w:val="007A059D"/>
    <w:rsid w:val="007B1B5B"/>
    <w:rsid w:val="007B2A5D"/>
    <w:rsid w:val="007B3540"/>
    <w:rsid w:val="007B3B9B"/>
    <w:rsid w:val="007C09CB"/>
    <w:rsid w:val="007C24C6"/>
    <w:rsid w:val="007C6868"/>
    <w:rsid w:val="007D387C"/>
    <w:rsid w:val="007F5E72"/>
    <w:rsid w:val="00803482"/>
    <w:rsid w:val="008138A8"/>
    <w:rsid w:val="00824CF7"/>
    <w:rsid w:val="00826D17"/>
    <w:rsid w:val="008348C8"/>
    <w:rsid w:val="008366EF"/>
    <w:rsid w:val="0084186D"/>
    <w:rsid w:val="00846E00"/>
    <w:rsid w:val="008525A6"/>
    <w:rsid w:val="00860731"/>
    <w:rsid w:val="00866909"/>
    <w:rsid w:val="008A06E6"/>
    <w:rsid w:val="008A701D"/>
    <w:rsid w:val="008B4E43"/>
    <w:rsid w:val="008C2F88"/>
    <w:rsid w:val="008C3A01"/>
    <w:rsid w:val="008D719B"/>
    <w:rsid w:val="008E356B"/>
    <w:rsid w:val="008F3272"/>
    <w:rsid w:val="00904CAA"/>
    <w:rsid w:val="00907648"/>
    <w:rsid w:val="009254F3"/>
    <w:rsid w:val="009257D4"/>
    <w:rsid w:val="00934A25"/>
    <w:rsid w:val="00943817"/>
    <w:rsid w:val="00954F05"/>
    <w:rsid w:val="00967E4D"/>
    <w:rsid w:val="0099508A"/>
    <w:rsid w:val="00996A49"/>
    <w:rsid w:val="009A5AE9"/>
    <w:rsid w:val="009B4C8C"/>
    <w:rsid w:val="009D022E"/>
    <w:rsid w:val="009D0B8C"/>
    <w:rsid w:val="009D253B"/>
    <w:rsid w:val="009E0602"/>
    <w:rsid w:val="00A13444"/>
    <w:rsid w:val="00A151A9"/>
    <w:rsid w:val="00A24C85"/>
    <w:rsid w:val="00A338C4"/>
    <w:rsid w:val="00A40314"/>
    <w:rsid w:val="00A63BC6"/>
    <w:rsid w:val="00A65FC1"/>
    <w:rsid w:val="00A77481"/>
    <w:rsid w:val="00A77EB1"/>
    <w:rsid w:val="00A861C8"/>
    <w:rsid w:val="00A87F71"/>
    <w:rsid w:val="00A95820"/>
    <w:rsid w:val="00A97865"/>
    <w:rsid w:val="00AC2C6D"/>
    <w:rsid w:val="00AC64FF"/>
    <w:rsid w:val="00AD4C45"/>
    <w:rsid w:val="00AD5C1F"/>
    <w:rsid w:val="00AE45D1"/>
    <w:rsid w:val="00B07FA8"/>
    <w:rsid w:val="00B1127A"/>
    <w:rsid w:val="00B2387F"/>
    <w:rsid w:val="00B2699B"/>
    <w:rsid w:val="00B30AA3"/>
    <w:rsid w:val="00B36E85"/>
    <w:rsid w:val="00B62FF9"/>
    <w:rsid w:val="00B73BF3"/>
    <w:rsid w:val="00B75954"/>
    <w:rsid w:val="00B767ED"/>
    <w:rsid w:val="00B8478C"/>
    <w:rsid w:val="00B91115"/>
    <w:rsid w:val="00B9734E"/>
    <w:rsid w:val="00BA18D2"/>
    <w:rsid w:val="00BB4D5A"/>
    <w:rsid w:val="00BD2226"/>
    <w:rsid w:val="00BE4CD4"/>
    <w:rsid w:val="00C015E1"/>
    <w:rsid w:val="00C0544E"/>
    <w:rsid w:val="00C12D14"/>
    <w:rsid w:val="00C143BC"/>
    <w:rsid w:val="00C226B3"/>
    <w:rsid w:val="00C543F2"/>
    <w:rsid w:val="00C62823"/>
    <w:rsid w:val="00C64501"/>
    <w:rsid w:val="00C659EB"/>
    <w:rsid w:val="00C65B56"/>
    <w:rsid w:val="00C732FB"/>
    <w:rsid w:val="00C741E6"/>
    <w:rsid w:val="00C7688A"/>
    <w:rsid w:val="00C84BA7"/>
    <w:rsid w:val="00C853A3"/>
    <w:rsid w:val="00CC3847"/>
    <w:rsid w:val="00CD13E6"/>
    <w:rsid w:val="00CD5CEB"/>
    <w:rsid w:val="00CD65F4"/>
    <w:rsid w:val="00CE3C00"/>
    <w:rsid w:val="00CF524F"/>
    <w:rsid w:val="00D14C10"/>
    <w:rsid w:val="00D247DC"/>
    <w:rsid w:val="00D417FC"/>
    <w:rsid w:val="00D41ABB"/>
    <w:rsid w:val="00D57BB9"/>
    <w:rsid w:val="00D615F1"/>
    <w:rsid w:val="00D70DFB"/>
    <w:rsid w:val="00D77F40"/>
    <w:rsid w:val="00D97330"/>
    <w:rsid w:val="00DA07AB"/>
    <w:rsid w:val="00DF014E"/>
    <w:rsid w:val="00DF18F9"/>
    <w:rsid w:val="00DF722F"/>
    <w:rsid w:val="00E03191"/>
    <w:rsid w:val="00E11261"/>
    <w:rsid w:val="00E133BC"/>
    <w:rsid w:val="00E13ECC"/>
    <w:rsid w:val="00E1712F"/>
    <w:rsid w:val="00E4064C"/>
    <w:rsid w:val="00E440C4"/>
    <w:rsid w:val="00E554F7"/>
    <w:rsid w:val="00E64685"/>
    <w:rsid w:val="00E67069"/>
    <w:rsid w:val="00E8007D"/>
    <w:rsid w:val="00EB1940"/>
    <w:rsid w:val="00EB1F44"/>
    <w:rsid w:val="00EB26D1"/>
    <w:rsid w:val="00EC3929"/>
    <w:rsid w:val="00EC4B6F"/>
    <w:rsid w:val="00F338A0"/>
    <w:rsid w:val="00F34ECC"/>
    <w:rsid w:val="00F5071D"/>
    <w:rsid w:val="00F66549"/>
    <w:rsid w:val="00F67AEB"/>
    <w:rsid w:val="00F9078B"/>
    <w:rsid w:val="00F97FAC"/>
    <w:rsid w:val="00FA4965"/>
    <w:rsid w:val="00FA590F"/>
    <w:rsid w:val="00FA7790"/>
    <w:rsid w:val="00FA79CC"/>
    <w:rsid w:val="00FB01E3"/>
    <w:rsid w:val="00FC43A4"/>
    <w:rsid w:val="00FC4F23"/>
    <w:rsid w:val="00FC523B"/>
    <w:rsid w:val="00FF40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B53DD9"/>
  <w15:chartTrackingRefBased/>
  <w15:docId w15:val="{2AE0AA20-3EBD-4DF4-B269-31FEA1A3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fr-FR"/>
    </w:rPr>
  </w:style>
  <w:style w:type="paragraph" w:styleId="Titre1">
    <w:name w:val="heading 1"/>
    <w:basedOn w:val="Normal"/>
    <w:next w:val="Normal"/>
    <w:qFormat/>
    <w:pPr>
      <w:keepNext/>
      <w:autoSpaceDE w:val="0"/>
      <w:autoSpaceDN w:val="0"/>
      <w:adjustRightInd w:val="0"/>
      <w:jc w:val="center"/>
      <w:outlineLvl w:val="0"/>
    </w:pPr>
    <w:rPr>
      <w:rFonts w:ascii="Frutiger LT Std 47 Light Cn" w:hAnsi="Frutiger LT Std 47 Light Cn"/>
      <w:sz w:val="28"/>
      <w:lang w:val="fr-FR"/>
    </w:rPr>
  </w:style>
  <w:style w:type="paragraph" w:styleId="Titre2">
    <w:name w:val="heading 2"/>
    <w:basedOn w:val="Normal"/>
    <w:next w:val="Normal"/>
    <w:qFormat/>
    <w:pPr>
      <w:keepNext/>
      <w:pBdr>
        <w:top w:val="single" w:sz="4" w:space="1" w:color="auto"/>
      </w:pBdr>
      <w:outlineLvl w:val="1"/>
    </w:pPr>
    <w:rPr>
      <w:rFonts w:ascii="Frutiger LT Std 47 Light Cn" w:hAnsi="Frutiger LT Std 47 Light Cn"/>
      <w:b/>
      <w:bCs/>
    </w:rPr>
  </w:style>
  <w:style w:type="paragraph" w:styleId="Titre3">
    <w:name w:val="heading 3"/>
    <w:basedOn w:val="Normal"/>
    <w:next w:val="Normal"/>
    <w:link w:val="Titre3Car"/>
    <w:semiHidden/>
    <w:unhideWhenUsed/>
    <w:qFormat/>
    <w:rsid w:val="00CC3847"/>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Corpsdetexte">
    <w:name w:val="Body Text"/>
    <w:basedOn w:val="Normal"/>
    <w:pPr>
      <w:autoSpaceDE w:val="0"/>
      <w:autoSpaceDN w:val="0"/>
      <w:adjustRightInd w:val="0"/>
      <w:jc w:val="both"/>
    </w:pPr>
    <w:rPr>
      <w:rFonts w:ascii="Frutiger LT Std 47 Light Cn" w:hAnsi="Frutiger LT Std 47 Light Cn"/>
      <w:sz w:val="22"/>
      <w:szCs w:val="22"/>
      <w:lang w:val="fr-FR"/>
    </w:rPr>
  </w:style>
  <w:style w:type="character" w:styleId="Lienhypertexte">
    <w:name w:val="Hyperlink"/>
    <w:rPr>
      <w:color w:val="0000FF"/>
      <w:u w:val="single"/>
    </w:rPr>
  </w:style>
  <w:style w:type="paragraph" w:styleId="Paragraphedeliste">
    <w:name w:val="List Paragraph"/>
    <w:basedOn w:val="Normal"/>
    <w:uiPriority w:val="34"/>
    <w:qFormat/>
    <w:rsid w:val="00227729"/>
    <w:pPr>
      <w:ind w:left="708"/>
    </w:pPr>
  </w:style>
  <w:style w:type="character" w:customStyle="1" w:styleId="apple-converted-space">
    <w:name w:val="apple-converted-space"/>
    <w:basedOn w:val="Policepardfaut"/>
    <w:rsid w:val="00C732FB"/>
  </w:style>
  <w:style w:type="character" w:customStyle="1" w:styleId="il">
    <w:name w:val="il"/>
    <w:basedOn w:val="Policepardfaut"/>
    <w:rsid w:val="00C732FB"/>
  </w:style>
  <w:style w:type="paragraph" w:styleId="NormalWeb">
    <w:name w:val="Normal (Web)"/>
    <w:basedOn w:val="Normal"/>
    <w:uiPriority w:val="99"/>
    <w:unhideWhenUsed/>
    <w:rsid w:val="00C732FB"/>
    <w:pPr>
      <w:spacing w:before="100" w:beforeAutospacing="1" w:after="100" w:afterAutospacing="1"/>
    </w:pPr>
    <w:rPr>
      <w:lang w:eastAsia="fr-CA"/>
    </w:rPr>
  </w:style>
  <w:style w:type="paragraph" w:customStyle="1" w:styleId="Default">
    <w:name w:val="Default"/>
    <w:rsid w:val="00EB1F44"/>
    <w:pPr>
      <w:autoSpaceDE w:val="0"/>
      <w:autoSpaceDN w:val="0"/>
      <w:adjustRightInd w:val="0"/>
    </w:pPr>
    <w:rPr>
      <w:rFonts w:ascii="Trebuchet MS" w:eastAsia="Calibri" w:hAnsi="Trebuchet MS" w:cs="Trebuchet MS"/>
      <w:color w:val="000000"/>
      <w:sz w:val="24"/>
      <w:szCs w:val="24"/>
      <w:lang w:eastAsia="en-US"/>
    </w:rPr>
  </w:style>
  <w:style w:type="table" w:styleId="Grilledutableau">
    <w:name w:val="Table Grid"/>
    <w:basedOn w:val="TableauNormal"/>
    <w:uiPriority w:val="59"/>
    <w:rsid w:val="00717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F0FD6"/>
    <w:rPr>
      <w:b/>
      <w:bCs/>
    </w:rPr>
  </w:style>
  <w:style w:type="character" w:styleId="Lienhypertextesuivivisit">
    <w:name w:val="FollowedHyperlink"/>
    <w:basedOn w:val="Policepardfaut"/>
    <w:rsid w:val="006B1CF1"/>
    <w:rPr>
      <w:color w:val="954F72" w:themeColor="followedHyperlink"/>
      <w:u w:val="single"/>
    </w:rPr>
  </w:style>
  <w:style w:type="paragraph" w:customStyle="1" w:styleId="Sous-titre1">
    <w:name w:val="Sous-titre1"/>
    <w:basedOn w:val="Normal"/>
    <w:rsid w:val="00FB01E3"/>
    <w:pPr>
      <w:spacing w:before="100" w:beforeAutospacing="1" w:after="100" w:afterAutospacing="1"/>
    </w:pPr>
    <w:rPr>
      <w:lang w:eastAsia="fr-CA"/>
    </w:rPr>
  </w:style>
  <w:style w:type="paragraph" w:customStyle="1" w:styleId="Normal1">
    <w:name w:val="Normal1"/>
    <w:rsid w:val="00A151A9"/>
    <w:pPr>
      <w:spacing w:line="276" w:lineRule="auto"/>
      <w:contextualSpacing/>
    </w:pPr>
    <w:rPr>
      <w:rFonts w:ascii="Arial" w:eastAsia="Arial" w:hAnsi="Arial" w:cs="Arial"/>
      <w:sz w:val="22"/>
      <w:szCs w:val="22"/>
      <w:lang w:val="fr" w:eastAsia="fr-FR"/>
    </w:rPr>
  </w:style>
  <w:style w:type="paragraph" w:styleId="Commentaire">
    <w:name w:val="annotation text"/>
    <w:basedOn w:val="Normal"/>
    <w:link w:val="CommentaireCar"/>
    <w:uiPriority w:val="99"/>
    <w:unhideWhenUsed/>
    <w:rsid w:val="00A151A9"/>
    <w:pPr>
      <w:contextualSpacing/>
    </w:pPr>
    <w:rPr>
      <w:rFonts w:ascii="Arial" w:eastAsia="Arial" w:hAnsi="Arial" w:cs="Arial"/>
      <w:lang w:val="fr"/>
    </w:rPr>
  </w:style>
  <w:style w:type="character" w:customStyle="1" w:styleId="CommentaireCar">
    <w:name w:val="Commentaire Car"/>
    <w:basedOn w:val="Policepardfaut"/>
    <w:link w:val="Commentaire"/>
    <w:uiPriority w:val="99"/>
    <w:rsid w:val="00A151A9"/>
    <w:rPr>
      <w:rFonts w:ascii="Arial" w:eastAsia="Arial" w:hAnsi="Arial" w:cs="Arial"/>
      <w:sz w:val="24"/>
      <w:szCs w:val="24"/>
      <w:lang w:val="fr" w:eastAsia="fr-FR"/>
    </w:rPr>
  </w:style>
  <w:style w:type="character" w:styleId="Marquedecommentaire">
    <w:name w:val="annotation reference"/>
    <w:basedOn w:val="Policepardfaut"/>
    <w:uiPriority w:val="99"/>
    <w:unhideWhenUsed/>
    <w:rsid w:val="00A151A9"/>
    <w:rPr>
      <w:sz w:val="18"/>
      <w:szCs w:val="18"/>
    </w:rPr>
  </w:style>
  <w:style w:type="paragraph" w:styleId="Textedebulles">
    <w:name w:val="Balloon Text"/>
    <w:basedOn w:val="Normal"/>
    <w:link w:val="TextedebullesCar"/>
    <w:rsid w:val="00A151A9"/>
    <w:rPr>
      <w:sz w:val="18"/>
      <w:szCs w:val="18"/>
    </w:rPr>
  </w:style>
  <w:style w:type="character" w:customStyle="1" w:styleId="TextedebullesCar">
    <w:name w:val="Texte de bulles Car"/>
    <w:basedOn w:val="Policepardfaut"/>
    <w:link w:val="Textedebulles"/>
    <w:rsid w:val="00A151A9"/>
    <w:rPr>
      <w:sz w:val="18"/>
      <w:szCs w:val="18"/>
      <w:lang w:eastAsia="fr-FR"/>
    </w:rPr>
  </w:style>
  <w:style w:type="paragraph" w:styleId="Notedebasdepage">
    <w:name w:val="footnote text"/>
    <w:basedOn w:val="Normal"/>
    <w:link w:val="NotedebasdepageCar"/>
    <w:uiPriority w:val="99"/>
    <w:rsid w:val="0009217D"/>
  </w:style>
  <w:style w:type="character" w:customStyle="1" w:styleId="NotedebasdepageCar">
    <w:name w:val="Note de bas de page Car"/>
    <w:basedOn w:val="Policepardfaut"/>
    <w:link w:val="Notedebasdepage"/>
    <w:uiPriority w:val="99"/>
    <w:rsid w:val="0009217D"/>
    <w:rPr>
      <w:sz w:val="24"/>
      <w:szCs w:val="24"/>
      <w:lang w:eastAsia="fr-FR"/>
    </w:rPr>
  </w:style>
  <w:style w:type="character" w:styleId="Appelnotedebasdep">
    <w:name w:val="footnote reference"/>
    <w:basedOn w:val="Policepardfaut"/>
    <w:uiPriority w:val="99"/>
    <w:rsid w:val="0009217D"/>
    <w:rPr>
      <w:vertAlign w:val="superscript"/>
    </w:rPr>
  </w:style>
  <w:style w:type="paragraph" w:styleId="Sansinterligne">
    <w:name w:val="No Spacing"/>
    <w:uiPriority w:val="1"/>
    <w:qFormat/>
    <w:rsid w:val="0009217D"/>
    <w:rPr>
      <w:sz w:val="24"/>
      <w:szCs w:val="24"/>
      <w:lang w:val="en-CA" w:eastAsia="en-US"/>
    </w:rPr>
  </w:style>
  <w:style w:type="paragraph" w:styleId="Objetducommentaire">
    <w:name w:val="annotation subject"/>
    <w:basedOn w:val="Commentaire"/>
    <w:next w:val="Commentaire"/>
    <w:link w:val="ObjetducommentaireCar"/>
    <w:rsid w:val="00277261"/>
    <w:pPr>
      <w:contextualSpacing w:val="0"/>
    </w:pPr>
    <w:rPr>
      <w:rFonts w:ascii="Times New Roman" w:eastAsia="Times New Roman" w:hAnsi="Times New Roman" w:cs="Times New Roman"/>
      <w:b/>
      <w:bCs/>
      <w:sz w:val="20"/>
      <w:szCs w:val="20"/>
      <w:lang w:val="fr-CA"/>
    </w:rPr>
  </w:style>
  <w:style w:type="character" w:customStyle="1" w:styleId="ObjetducommentaireCar">
    <w:name w:val="Objet du commentaire Car"/>
    <w:basedOn w:val="CommentaireCar"/>
    <w:link w:val="Objetducommentaire"/>
    <w:rsid w:val="00277261"/>
    <w:rPr>
      <w:rFonts w:ascii="Arial" w:eastAsia="Arial" w:hAnsi="Arial" w:cs="Arial"/>
      <w:b/>
      <w:bCs/>
      <w:sz w:val="24"/>
      <w:szCs w:val="24"/>
      <w:lang w:val="fr" w:eastAsia="fr-FR"/>
    </w:rPr>
  </w:style>
  <w:style w:type="character" w:customStyle="1" w:styleId="UnresolvedMention1">
    <w:name w:val="Unresolved Mention1"/>
    <w:basedOn w:val="Policepardfaut"/>
    <w:rsid w:val="00BB4D5A"/>
    <w:rPr>
      <w:color w:val="605E5C"/>
      <w:shd w:val="clear" w:color="auto" w:fill="E1DFDD"/>
    </w:rPr>
  </w:style>
  <w:style w:type="character" w:styleId="Mentionnonrsolue">
    <w:name w:val="Unresolved Mention"/>
    <w:basedOn w:val="Policepardfaut"/>
    <w:uiPriority w:val="99"/>
    <w:semiHidden/>
    <w:unhideWhenUsed/>
    <w:rsid w:val="001519CA"/>
    <w:rPr>
      <w:color w:val="605E5C"/>
      <w:shd w:val="clear" w:color="auto" w:fill="E1DFDD"/>
    </w:rPr>
  </w:style>
  <w:style w:type="character" w:customStyle="1" w:styleId="Titre3Car">
    <w:name w:val="Titre 3 Car"/>
    <w:basedOn w:val="Policepardfaut"/>
    <w:link w:val="Titre3"/>
    <w:semiHidden/>
    <w:rsid w:val="00CC3847"/>
    <w:rPr>
      <w:rFonts w:asciiTheme="majorHAnsi" w:eastAsiaTheme="majorEastAsia" w:hAnsiTheme="majorHAnsi" w:cstheme="majorBidi"/>
      <w:color w:val="1F4D78" w:themeColor="accent1" w:themeShade="7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6255">
      <w:bodyDiv w:val="1"/>
      <w:marLeft w:val="0"/>
      <w:marRight w:val="0"/>
      <w:marTop w:val="0"/>
      <w:marBottom w:val="0"/>
      <w:divBdr>
        <w:top w:val="none" w:sz="0" w:space="0" w:color="auto"/>
        <w:left w:val="none" w:sz="0" w:space="0" w:color="auto"/>
        <w:bottom w:val="none" w:sz="0" w:space="0" w:color="auto"/>
        <w:right w:val="none" w:sz="0" w:space="0" w:color="auto"/>
      </w:divBdr>
      <w:divsChild>
        <w:div w:id="1048069702">
          <w:marLeft w:val="165"/>
          <w:marRight w:val="165"/>
          <w:marTop w:val="0"/>
          <w:marBottom w:val="600"/>
          <w:divBdr>
            <w:top w:val="none" w:sz="0" w:space="0" w:color="auto"/>
            <w:left w:val="none" w:sz="0" w:space="0" w:color="auto"/>
            <w:bottom w:val="none" w:sz="0" w:space="0" w:color="auto"/>
            <w:right w:val="none" w:sz="0" w:space="0" w:color="auto"/>
          </w:divBdr>
        </w:div>
        <w:div w:id="2110656709">
          <w:marLeft w:val="165"/>
          <w:marRight w:val="165"/>
          <w:marTop w:val="0"/>
          <w:marBottom w:val="600"/>
          <w:divBdr>
            <w:top w:val="none" w:sz="0" w:space="0" w:color="auto"/>
            <w:left w:val="none" w:sz="0" w:space="0" w:color="auto"/>
            <w:bottom w:val="none" w:sz="0" w:space="0" w:color="auto"/>
            <w:right w:val="none" w:sz="0" w:space="0" w:color="auto"/>
          </w:divBdr>
        </w:div>
        <w:div w:id="1396512480">
          <w:marLeft w:val="165"/>
          <w:marRight w:val="165"/>
          <w:marTop w:val="0"/>
          <w:marBottom w:val="600"/>
          <w:divBdr>
            <w:top w:val="none" w:sz="0" w:space="0" w:color="auto"/>
            <w:left w:val="none" w:sz="0" w:space="0" w:color="auto"/>
            <w:bottom w:val="none" w:sz="0" w:space="0" w:color="auto"/>
            <w:right w:val="none" w:sz="0" w:space="0" w:color="auto"/>
          </w:divBdr>
        </w:div>
        <w:div w:id="391662764">
          <w:marLeft w:val="165"/>
          <w:marRight w:val="165"/>
          <w:marTop w:val="0"/>
          <w:marBottom w:val="600"/>
          <w:divBdr>
            <w:top w:val="none" w:sz="0" w:space="0" w:color="auto"/>
            <w:left w:val="none" w:sz="0" w:space="0" w:color="auto"/>
            <w:bottom w:val="none" w:sz="0" w:space="0" w:color="auto"/>
            <w:right w:val="none" w:sz="0" w:space="0" w:color="auto"/>
          </w:divBdr>
        </w:div>
      </w:divsChild>
    </w:div>
    <w:div w:id="178467390">
      <w:bodyDiv w:val="1"/>
      <w:marLeft w:val="0"/>
      <w:marRight w:val="0"/>
      <w:marTop w:val="0"/>
      <w:marBottom w:val="0"/>
      <w:divBdr>
        <w:top w:val="none" w:sz="0" w:space="0" w:color="auto"/>
        <w:left w:val="none" w:sz="0" w:space="0" w:color="auto"/>
        <w:bottom w:val="none" w:sz="0" w:space="0" w:color="auto"/>
        <w:right w:val="none" w:sz="0" w:space="0" w:color="auto"/>
      </w:divBdr>
    </w:div>
    <w:div w:id="295137654">
      <w:bodyDiv w:val="1"/>
      <w:marLeft w:val="0"/>
      <w:marRight w:val="0"/>
      <w:marTop w:val="0"/>
      <w:marBottom w:val="0"/>
      <w:divBdr>
        <w:top w:val="none" w:sz="0" w:space="0" w:color="auto"/>
        <w:left w:val="none" w:sz="0" w:space="0" w:color="auto"/>
        <w:bottom w:val="none" w:sz="0" w:space="0" w:color="auto"/>
        <w:right w:val="none" w:sz="0" w:space="0" w:color="auto"/>
      </w:divBdr>
    </w:div>
    <w:div w:id="301348971">
      <w:bodyDiv w:val="1"/>
      <w:marLeft w:val="0"/>
      <w:marRight w:val="0"/>
      <w:marTop w:val="0"/>
      <w:marBottom w:val="0"/>
      <w:divBdr>
        <w:top w:val="none" w:sz="0" w:space="0" w:color="auto"/>
        <w:left w:val="none" w:sz="0" w:space="0" w:color="auto"/>
        <w:bottom w:val="none" w:sz="0" w:space="0" w:color="auto"/>
        <w:right w:val="none" w:sz="0" w:space="0" w:color="auto"/>
      </w:divBdr>
    </w:div>
    <w:div w:id="428503335">
      <w:bodyDiv w:val="1"/>
      <w:marLeft w:val="0"/>
      <w:marRight w:val="0"/>
      <w:marTop w:val="0"/>
      <w:marBottom w:val="0"/>
      <w:divBdr>
        <w:top w:val="none" w:sz="0" w:space="0" w:color="auto"/>
        <w:left w:val="none" w:sz="0" w:space="0" w:color="auto"/>
        <w:bottom w:val="none" w:sz="0" w:space="0" w:color="auto"/>
        <w:right w:val="none" w:sz="0" w:space="0" w:color="auto"/>
      </w:divBdr>
    </w:div>
    <w:div w:id="533349940">
      <w:bodyDiv w:val="1"/>
      <w:marLeft w:val="0"/>
      <w:marRight w:val="0"/>
      <w:marTop w:val="0"/>
      <w:marBottom w:val="0"/>
      <w:divBdr>
        <w:top w:val="none" w:sz="0" w:space="0" w:color="auto"/>
        <w:left w:val="none" w:sz="0" w:space="0" w:color="auto"/>
        <w:bottom w:val="none" w:sz="0" w:space="0" w:color="auto"/>
        <w:right w:val="none" w:sz="0" w:space="0" w:color="auto"/>
      </w:divBdr>
    </w:div>
    <w:div w:id="675231133">
      <w:bodyDiv w:val="1"/>
      <w:marLeft w:val="0"/>
      <w:marRight w:val="0"/>
      <w:marTop w:val="0"/>
      <w:marBottom w:val="0"/>
      <w:divBdr>
        <w:top w:val="none" w:sz="0" w:space="0" w:color="auto"/>
        <w:left w:val="none" w:sz="0" w:space="0" w:color="auto"/>
        <w:bottom w:val="none" w:sz="0" w:space="0" w:color="auto"/>
        <w:right w:val="none" w:sz="0" w:space="0" w:color="auto"/>
      </w:divBdr>
    </w:div>
    <w:div w:id="846214546">
      <w:bodyDiv w:val="1"/>
      <w:marLeft w:val="0"/>
      <w:marRight w:val="0"/>
      <w:marTop w:val="0"/>
      <w:marBottom w:val="0"/>
      <w:divBdr>
        <w:top w:val="none" w:sz="0" w:space="0" w:color="auto"/>
        <w:left w:val="none" w:sz="0" w:space="0" w:color="auto"/>
        <w:bottom w:val="none" w:sz="0" w:space="0" w:color="auto"/>
        <w:right w:val="none" w:sz="0" w:space="0" w:color="auto"/>
      </w:divBdr>
    </w:div>
    <w:div w:id="887061149">
      <w:bodyDiv w:val="1"/>
      <w:marLeft w:val="0"/>
      <w:marRight w:val="0"/>
      <w:marTop w:val="0"/>
      <w:marBottom w:val="0"/>
      <w:divBdr>
        <w:top w:val="none" w:sz="0" w:space="0" w:color="auto"/>
        <w:left w:val="none" w:sz="0" w:space="0" w:color="auto"/>
        <w:bottom w:val="none" w:sz="0" w:space="0" w:color="auto"/>
        <w:right w:val="none" w:sz="0" w:space="0" w:color="auto"/>
      </w:divBdr>
    </w:div>
    <w:div w:id="1026173629">
      <w:bodyDiv w:val="1"/>
      <w:marLeft w:val="0"/>
      <w:marRight w:val="0"/>
      <w:marTop w:val="0"/>
      <w:marBottom w:val="0"/>
      <w:divBdr>
        <w:top w:val="none" w:sz="0" w:space="0" w:color="auto"/>
        <w:left w:val="none" w:sz="0" w:space="0" w:color="auto"/>
        <w:bottom w:val="none" w:sz="0" w:space="0" w:color="auto"/>
        <w:right w:val="none" w:sz="0" w:space="0" w:color="auto"/>
      </w:divBdr>
    </w:div>
    <w:div w:id="1044989605">
      <w:bodyDiv w:val="1"/>
      <w:marLeft w:val="0"/>
      <w:marRight w:val="0"/>
      <w:marTop w:val="0"/>
      <w:marBottom w:val="0"/>
      <w:divBdr>
        <w:top w:val="none" w:sz="0" w:space="0" w:color="auto"/>
        <w:left w:val="none" w:sz="0" w:space="0" w:color="auto"/>
        <w:bottom w:val="none" w:sz="0" w:space="0" w:color="auto"/>
        <w:right w:val="none" w:sz="0" w:space="0" w:color="auto"/>
      </w:divBdr>
    </w:div>
    <w:div w:id="1054162627">
      <w:bodyDiv w:val="1"/>
      <w:marLeft w:val="0"/>
      <w:marRight w:val="0"/>
      <w:marTop w:val="0"/>
      <w:marBottom w:val="0"/>
      <w:divBdr>
        <w:top w:val="none" w:sz="0" w:space="0" w:color="auto"/>
        <w:left w:val="none" w:sz="0" w:space="0" w:color="auto"/>
        <w:bottom w:val="none" w:sz="0" w:space="0" w:color="auto"/>
        <w:right w:val="none" w:sz="0" w:space="0" w:color="auto"/>
      </w:divBdr>
    </w:div>
    <w:div w:id="1250121847">
      <w:bodyDiv w:val="1"/>
      <w:marLeft w:val="0"/>
      <w:marRight w:val="0"/>
      <w:marTop w:val="0"/>
      <w:marBottom w:val="0"/>
      <w:divBdr>
        <w:top w:val="none" w:sz="0" w:space="0" w:color="auto"/>
        <w:left w:val="none" w:sz="0" w:space="0" w:color="auto"/>
        <w:bottom w:val="none" w:sz="0" w:space="0" w:color="auto"/>
        <w:right w:val="none" w:sz="0" w:space="0" w:color="auto"/>
      </w:divBdr>
    </w:div>
    <w:div w:id="1489782205">
      <w:bodyDiv w:val="1"/>
      <w:marLeft w:val="0"/>
      <w:marRight w:val="0"/>
      <w:marTop w:val="0"/>
      <w:marBottom w:val="0"/>
      <w:divBdr>
        <w:top w:val="none" w:sz="0" w:space="0" w:color="auto"/>
        <w:left w:val="none" w:sz="0" w:space="0" w:color="auto"/>
        <w:bottom w:val="none" w:sz="0" w:space="0" w:color="auto"/>
        <w:right w:val="none" w:sz="0" w:space="0" w:color="auto"/>
      </w:divBdr>
    </w:div>
    <w:div w:id="1759787935">
      <w:bodyDiv w:val="1"/>
      <w:marLeft w:val="0"/>
      <w:marRight w:val="0"/>
      <w:marTop w:val="0"/>
      <w:marBottom w:val="0"/>
      <w:divBdr>
        <w:top w:val="none" w:sz="0" w:space="0" w:color="auto"/>
        <w:left w:val="none" w:sz="0" w:space="0" w:color="auto"/>
        <w:bottom w:val="none" w:sz="0" w:space="0" w:color="auto"/>
        <w:right w:val="none" w:sz="0" w:space="0" w:color="auto"/>
      </w:divBdr>
    </w:div>
    <w:div w:id="1772433938">
      <w:bodyDiv w:val="1"/>
      <w:marLeft w:val="0"/>
      <w:marRight w:val="0"/>
      <w:marTop w:val="0"/>
      <w:marBottom w:val="0"/>
      <w:divBdr>
        <w:top w:val="none" w:sz="0" w:space="0" w:color="auto"/>
        <w:left w:val="none" w:sz="0" w:space="0" w:color="auto"/>
        <w:bottom w:val="none" w:sz="0" w:space="0" w:color="auto"/>
        <w:right w:val="none" w:sz="0" w:space="0" w:color="auto"/>
      </w:divBdr>
    </w:div>
    <w:div w:id="209473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matecasechar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se.ac.uk/GranthamInstitute/climate-change-laws-of-the-world" TargetMode="External"/><Relationship Id="rId4" Type="http://schemas.openxmlformats.org/officeDocument/2006/relationships/settings" Target="settings.xml"/><Relationship Id="rId9" Type="http://schemas.openxmlformats.org/officeDocument/2006/relationships/hyperlink" Target="http://track0.org/about/track-0s-miss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anlii.org/fr/ca/cfpi/doc/2020/2020cf1059/2020cf1059.html" TargetMode="External"/><Relationship Id="rId7" Type="http://schemas.openxmlformats.org/officeDocument/2006/relationships/hyperlink" Target="http://climatecasechart.com/climate-change-litigation/wp-content/uploads/sites/16/non-us-case-documents/2015/20150404_2015-W.P.-No.-25501201_decision.pdf" TargetMode="External"/><Relationship Id="rId2" Type="http://schemas.openxmlformats.org/officeDocument/2006/relationships/hyperlink" Target="https://www.canlii.org/en/on/onsc/doc/2020/2020onsc6918/2020onsc6918.html?autocompleteStr=mathur&amp;autocompletePos=3" TargetMode="External"/><Relationship Id="rId1" Type="http://schemas.openxmlformats.org/officeDocument/2006/relationships/hyperlink" Target="https://www.canlii.org/fr/ca/cfpi/doc/2020/2020cf1008/2020cf1008.html?autocompleteStr=la%20rose%20c.%20&amp;autocompletePos=5" TargetMode="External"/><Relationship Id="rId6" Type="http://schemas.openxmlformats.org/officeDocument/2006/relationships/hyperlink" Target="http://paris.tribunal-administratif.fr/content/download/179360/1759761/version/1/file/1904967190496819049721904976.pdf" TargetMode="External"/><Relationship Id="rId5" Type="http://schemas.openxmlformats.org/officeDocument/2006/relationships/hyperlink" Target="http://climatecasechart.com/climate-change-litigation/wp-content/uploads/sites/16/non-us-case-documents/2021/20210429_11817_judgment-2.pdf" TargetMode="External"/><Relationship Id="rId4" Type="http://schemas.openxmlformats.org/officeDocument/2006/relationships/hyperlink" Target="https://uitspraken.rechtspraak.nl/inziendocument?id=ECLI:NL:HR:2019:200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9FE1E-1671-4F45-AD63-2A3536F31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1332</Words>
  <Characters>7328</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Montréal, 15 juillet 3006</vt:lpstr>
      <vt:lpstr>Montréal, 15 juillet 3006</vt:lpstr>
    </vt:vector>
  </TitlesOfParts>
  <Company>ENJEU</Company>
  <LinksUpToDate>false</LinksUpToDate>
  <CharactersWithSpaces>8643</CharactersWithSpaces>
  <SharedDoc>false</SharedDoc>
  <HLinks>
    <vt:vector size="6" baseType="variant">
      <vt:variant>
        <vt:i4>7602187</vt:i4>
      </vt:variant>
      <vt:variant>
        <vt:i4>0</vt:i4>
      </vt:variant>
      <vt:variant>
        <vt:i4>0</vt:i4>
      </vt:variant>
      <vt:variant>
        <vt:i4>5</vt:i4>
      </vt:variant>
      <vt:variant>
        <vt:lpwstr>mailto:jcmarchand@enjeu.qc.ca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Montréal, 15 juillet 3006</dc:title>
  <dc:subject/>
  <dc:creator>enjeu</dc:creator>
  <cp:keywords/>
  <cp:lastModifiedBy>ENvironnement JEUnesse</cp:lastModifiedBy>
  <cp:revision>8</cp:revision>
  <cp:lastPrinted>2016-06-20T18:38:00Z</cp:lastPrinted>
  <dcterms:created xsi:type="dcterms:W3CDTF">2022-02-09T20:54:00Z</dcterms:created>
  <dcterms:modified xsi:type="dcterms:W3CDTF">2022-02-10T16:18:00Z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6ae94f20-16df-4fdc-8968-3bab78dbc3fd</vt:lpwstr>
  </property>
</Properties>
</file>